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b w:val="0"/>
          <w:i w:val="0"/>
          <w:caps w:val="0"/>
          <w:spacing w:val="0"/>
          <w:w w:val="100"/>
          <w:sz w:val="30"/>
          <w:szCs w:val="30"/>
        </w:rPr>
      </w:pPr>
      <w:bookmarkStart w:id="0" w:name="OLE_LINK1"/>
      <w:r>
        <w:rPr>
          <w:rFonts w:hint="eastAsia" w:eastAsia="等线"/>
          <w:b/>
          <w:i w:val="0"/>
          <w:caps w:val="0"/>
          <w:spacing w:val="0"/>
          <w:w w:val="100"/>
          <w:sz w:val="44"/>
          <w:szCs w:val="44"/>
          <w:lang w:eastAsia="zh-CN"/>
        </w:rPr>
        <w:t>申请换领</w:t>
      </w:r>
      <w:r>
        <w:rPr>
          <w:rFonts w:ascii="Times New Roman" w:hAnsi="Times New Roman" w:eastAsia="等线"/>
          <w:b/>
          <w:i w:val="0"/>
          <w:caps w:val="0"/>
          <w:spacing w:val="0"/>
          <w:w w:val="100"/>
          <w:sz w:val="44"/>
          <w:szCs w:val="44"/>
        </w:rPr>
        <w:t>《危险废物经营许可证》受理公示</w:t>
      </w:r>
      <w:bookmarkEnd w:id="0"/>
    </w:p>
    <w:tbl>
      <w:tblPr>
        <w:tblStyle w:val="5"/>
        <w:tblpPr w:leftFromText="180" w:rightFromText="180" w:vertAnchor="text" w:horzAnchor="page" w:tblpX="1487" w:tblpY="529"/>
        <w:tblOverlap w:val="never"/>
        <w:tblW w:w="92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7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 w:hRule="atLeast"/>
        </w:trPr>
        <w:tc>
          <w:tcPr>
            <w:tcW w:w="2194" w:type="dxa"/>
            <w:noWrap w:val="0"/>
            <w:vAlign w:val="top"/>
          </w:tcPr>
          <w:p>
            <w:pPr>
              <w:pStyle w:val="8"/>
              <w:snapToGrid/>
              <w:spacing w:before="0" w:beforeAutospacing="0" w:after="0" w:afterAutospacing="0" w:line="360" w:lineRule="auto"/>
              <w:ind w:left="0" w:leftChars="0" w:firstLine="0" w:firstLineChars="0"/>
              <w:jc w:val="both"/>
              <w:textAlignment w:val="baseline"/>
              <w:rPr>
                <w:rFonts w:hint="default" w:ascii="方正仿宋_GBK" w:hAnsi="方正仿宋_GBK" w:eastAsia="方正仿宋_GBK" w:cs="方正仿宋_GBK"/>
                <w:b w:val="0"/>
                <w:i w:val="0"/>
                <w:caps w:val="0"/>
                <w:spacing w:val="0"/>
                <w:w w:val="100"/>
                <w:kern w:val="2"/>
                <w:sz w:val="28"/>
                <w:szCs w:val="28"/>
                <w:lang w:val="en-US" w:eastAsia="zh-CN" w:bidi="ar-SA"/>
              </w:rPr>
            </w:pPr>
            <w:r>
              <w:rPr>
                <w:rFonts w:hint="default" w:ascii="方正仿宋_GBK" w:hAnsi="方正仿宋_GBK" w:eastAsia="方正仿宋_GBK" w:cs="方正仿宋_GBK"/>
                <w:b w:val="0"/>
                <w:i w:val="0"/>
                <w:caps w:val="0"/>
                <w:spacing w:val="0"/>
                <w:w w:val="100"/>
                <w:kern w:val="2"/>
                <w:sz w:val="28"/>
                <w:szCs w:val="28"/>
                <w:lang w:val="en-US" w:eastAsia="zh-CN" w:bidi="ar-SA"/>
              </w:rPr>
              <w:t xml:space="preserve">企业名称 </w:t>
            </w:r>
          </w:p>
        </w:tc>
        <w:tc>
          <w:tcPr>
            <w:tcW w:w="7077" w:type="dxa"/>
            <w:noWrap w:val="0"/>
            <w:vAlign w:val="top"/>
          </w:tcPr>
          <w:p>
            <w:pPr>
              <w:pStyle w:val="8"/>
              <w:snapToGrid/>
              <w:spacing w:before="0" w:beforeAutospacing="0" w:after="0" w:afterAutospacing="0" w:line="360" w:lineRule="auto"/>
              <w:ind w:firstLine="560" w:firstLineChars="200"/>
              <w:jc w:val="center"/>
              <w:textAlignment w:val="baseline"/>
              <w:rPr>
                <w:rFonts w:hint="default" w:ascii="方正仿宋_GBK" w:hAnsi="方正仿宋_GBK" w:eastAsia="方正仿宋_GBK" w:cs="方正仿宋_GBK"/>
                <w:b w:val="0"/>
                <w:i w:val="0"/>
                <w:caps w:val="0"/>
                <w:spacing w:val="0"/>
                <w:w w:val="100"/>
                <w:kern w:val="2"/>
                <w:sz w:val="28"/>
                <w:szCs w:val="28"/>
                <w:lang w:val="en-US" w:eastAsia="zh-CN" w:bidi="ar-SA"/>
              </w:rPr>
            </w:pPr>
            <w:r>
              <w:rPr>
                <w:rFonts w:hint="default" w:ascii="方正仿宋_GBK" w:hAnsi="方正仿宋_GBK" w:eastAsia="方正仿宋_GBK" w:cs="方正仿宋_GBK"/>
                <w:b w:val="0"/>
                <w:i w:val="0"/>
                <w:caps w:val="0"/>
                <w:spacing w:val="0"/>
                <w:w w:val="100"/>
                <w:kern w:val="2"/>
                <w:sz w:val="28"/>
                <w:szCs w:val="28"/>
                <w:lang w:val="en-US" w:eastAsia="zh-CN" w:bidi="ar-SA"/>
              </w:rPr>
              <w:t>海安蔚蓝环保服务有限公司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194" w:type="dxa"/>
            <w:noWrap w:val="0"/>
            <w:vAlign w:val="top"/>
          </w:tcPr>
          <w:p>
            <w:pPr>
              <w:pStyle w:val="8"/>
              <w:snapToGrid/>
              <w:spacing w:before="0" w:beforeAutospacing="0" w:after="0" w:afterAutospacing="0" w:line="360" w:lineRule="auto"/>
              <w:ind w:left="0" w:leftChars="0" w:firstLine="0" w:firstLineChars="0"/>
              <w:jc w:val="both"/>
              <w:textAlignment w:val="baseline"/>
              <w:rPr>
                <w:rFonts w:hint="default" w:ascii="方正仿宋_GBK" w:hAnsi="方正仿宋_GBK" w:eastAsia="方正仿宋_GBK" w:cs="方正仿宋_GBK"/>
                <w:b w:val="0"/>
                <w:i w:val="0"/>
                <w:caps w:val="0"/>
                <w:spacing w:val="0"/>
                <w:w w:val="100"/>
                <w:kern w:val="2"/>
                <w:sz w:val="28"/>
                <w:szCs w:val="28"/>
                <w:lang w:val="en-US" w:eastAsia="zh-CN" w:bidi="ar-SA"/>
              </w:rPr>
            </w:pPr>
            <w:r>
              <w:rPr>
                <w:rFonts w:hint="default" w:ascii="方正仿宋_GBK" w:hAnsi="方正仿宋_GBK" w:eastAsia="方正仿宋_GBK" w:cs="方正仿宋_GBK"/>
                <w:b w:val="0"/>
                <w:i w:val="0"/>
                <w:caps w:val="0"/>
                <w:spacing w:val="0"/>
                <w:w w:val="100"/>
                <w:kern w:val="2"/>
                <w:sz w:val="28"/>
                <w:szCs w:val="28"/>
                <w:lang w:val="en-US" w:eastAsia="zh-CN" w:bidi="ar-SA"/>
              </w:rPr>
              <w:t>经营设施地址</w:t>
            </w:r>
          </w:p>
        </w:tc>
        <w:tc>
          <w:tcPr>
            <w:tcW w:w="7077" w:type="dxa"/>
            <w:noWrap w:val="0"/>
            <w:vAlign w:val="top"/>
          </w:tcPr>
          <w:p>
            <w:pPr>
              <w:pStyle w:val="8"/>
              <w:snapToGrid/>
              <w:spacing w:before="0" w:beforeAutospacing="0" w:after="0" w:afterAutospacing="0" w:line="360" w:lineRule="auto"/>
              <w:ind w:firstLine="560" w:firstLineChars="200"/>
              <w:jc w:val="center"/>
              <w:textAlignment w:val="baseline"/>
              <w:rPr>
                <w:rFonts w:hint="default" w:ascii="方正仿宋_GBK" w:hAnsi="方正仿宋_GBK" w:eastAsia="方正仿宋_GBK" w:cs="方正仿宋_GBK"/>
                <w:b w:val="0"/>
                <w:i w:val="0"/>
                <w:caps w:val="0"/>
                <w:spacing w:val="0"/>
                <w:w w:val="100"/>
                <w:kern w:val="2"/>
                <w:sz w:val="28"/>
                <w:szCs w:val="28"/>
                <w:lang w:val="en-US" w:eastAsia="zh-CN" w:bidi="ar-SA"/>
              </w:rPr>
            </w:pPr>
            <w:r>
              <w:rPr>
                <w:rFonts w:hint="eastAsia"/>
                <w:sz w:val="28"/>
                <w:szCs w:val="28"/>
              </w:rPr>
              <w:t>江苏省南通市海安市城东镇石桥村6组188号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194" w:type="dxa"/>
            <w:noWrap w:val="0"/>
            <w:vAlign w:val="top"/>
          </w:tcPr>
          <w:p>
            <w:pPr>
              <w:pStyle w:val="8"/>
              <w:snapToGrid/>
              <w:spacing w:before="0" w:beforeAutospacing="0" w:after="0" w:afterAutospacing="0" w:line="360" w:lineRule="auto"/>
              <w:ind w:left="0" w:leftChars="0" w:firstLine="0" w:firstLineChars="0"/>
              <w:jc w:val="both"/>
              <w:textAlignment w:val="baseline"/>
              <w:rPr>
                <w:rFonts w:hint="default" w:ascii="方正仿宋_GBK" w:hAnsi="方正仿宋_GBK" w:eastAsia="方正仿宋_GBK" w:cs="方正仿宋_GBK"/>
                <w:b w:val="0"/>
                <w:i w:val="0"/>
                <w:caps w:val="0"/>
                <w:spacing w:val="0"/>
                <w:w w:val="100"/>
                <w:kern w:val="2"/>
                <w:sz w:val="28"/>
                <w:szCs w:val="28"/>
                <w:lang w:val="en-US" w:eastAsia="zh-CN" w:bidi="ar-SA"/>
              </w:rPr>
            </w:pPr>
            <w:r>
              <w:rPr>
                <w:rFonts w:hint="default" w:ascii="方正仿宋_GBK" w:hAnsi="方正仿宋_GBK" w:eastAsia="方正仿宋_GBK" w:cs="方正仿宋_GBK"/>
                <w:b w:val="0"/>
                <w:i w:val="0"/>
                <w:caps w:val="0"/>
                <w:spacing w:val="0"/>
                <w:w w:val="100"/>
                <w:kern w:val="2"/>
                <w:sz w:val="28"/>
                <w:szCs w:val="28"/>
                <w:lang w:val="en-US" w:eastAsia="zh-CN" w:bidi="ar-SA"/>
              </w:rPr>
              <w:t>法人代表</w:t>
            </w:r>
          </w:p>
        </w:tc>
        <w:tc>
          <w:tcPr>
            <w:tcW w:w="7077" w:type="dxa"/>
            <w:noWrap w:val="0"/>
            <w:vAlign w:val="top"/>
          </w:tcPr>
          <w:p>
            <w:pPr>
              <w:pStyle w:val="8"/>
              <w:snapToGrid/>
              <w:spacing w:before="0" w:beforeAutospacing="0" w:after="0" w:afterAutospacing="0" w:line="360" w:lineRule="auto"/>
              <w:ind w:firstLine="560" w:firstLineChars="200"/>
              <w:jc w:val="center"/>
              <w:textAlignment w:val="baseline"/>
              <w:rPr>
                <w:rFonts w:hint="default" w:ascii="方正仿宋_GBK" w:hAnsi="方正仿宋_GBK" w:eastAsia="方正仿宋_GBK" w:cs="方正仿宋_GBK"/>
                <w:b w:val="0"/>
                <w:i w:val="0"/>
                <w:caps w:val="0"/>
                <w:spacing w:val="0"/>
                <w:w w:val="100"/>
                <w:kern w:val="2"/>
                <w:sz w:val="28"/>
                <w:szCs w:val="28"/>
                <w:lang w:val="en-US" w:eastAsia="zh-CN" w:bidi="ar-SA"/>
              </w:rPr>
            </w:pPr>
            <w:r>
              <w:rPr>
                <w:rFonts w:hint="eastAsia" w:ascii="方正仿宋_GBK" w:hAnsi="方正仿宋_GBK" w:eastAsia="方正仿宋_GBK" w:cs="方正仿宋_GBK"/>
                <w:b w:val="0"/>
                <w:i w:val="0"/>
                <w:caps w:val="0"/>
                <w:spacing w:val="0"/>
                <w:w w:val="100"/>
                <w:kern w:val="2"/>
                <w:sz w:val="28"/>
                <w:szCs w:val="28"/>
                <w:lang w:val="en-US" w:eastAsia="zh-CN" w:bidi="ar-SA"/>
              </w:rPr>
              <w:t>孙海东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4" w:hRule="atLeast"/>
        </w:trPr>
        <w:tc>
          <w:tcPr>
            <w:tcW w:w="2194" w:type="dxa"/>
            <w:noWrap w:val="0"/>
            <w:vAlign w:val="center"/>
          </w:tcPr>
          <w:p>
            <w:pPr>
              <w:pStyle w:val="8"/>
              <w:snapToGrid/>
              <w:spacing w:before="0" w:beforeAutospacing="0" w:after="0" w:afterAutospacing="0" w:line="360" w:lineRule="auto"/>
              <w:ind w:left="0" w:leftChars="0" w:firstLine="0" w:firstLineChars="0"/>
              <w:jc w:val="left"/>
              <w:textAlignment w:val="baseline"/>
              <w:rPr>
                <w:rFonts w:hint="default" w:ascii="方正仿宋_GBK" w:hAnsi="方正仿宋_GBK" w:eastAsia="方正仿宋_GBK" w:cs="方正仿宋_GBK"/>
                <w:b w:val="0"/>
                <w:i w:val="0"/>
                <w:caps w:val="0"/>
                <w:spacing w:val="0"/>
                <w:w w:val="100"/>
                <w:kern w:val="2"/>
                <w:sz w:val="28"/>
                <w:szCs w:val="28"/>
                <w:lang w:val="en-US" w:eastAsia="zh-CN" w:bidi="ar-SA"/>
              </w:rPr>
            </w:pPr>
            <w:r>
              <w:rPr>
                <w:rFonts w:hint="default" w:ascii="方正仿宋_GBK" w:hAnsi="方正仿宋_GBK" w:eastAsia="方正仿宋_GBK" w:cs="方正仿宋_GBK"/>
                <w:b w:val="0"/>
                <w:i w:val="0"/>
                <w:caps w:val="0"/>
                <w:spacing w:val="0"/>
                <w:w w:val="100"/>
                <w:kern w:val="2"/>
                <w:sz w:val="28"/>
                <w:szCs w:val="28"/>
                <w:lang w:val="en-US" w:eastAsia="zh-CN" w:bidi="ar-SA"/>
              </w:rPr>
              <w:t>申请经营类别及数量</w:t>
            </w:r>
          </w:p>
        </w:tc>
        <w:tc>
          <w:tcPr>
            <w:tcW w:w="7077" w:type="dxa"/>
            <w:noWrap w:val="0"/>
            <w:vAlign w:val="bottom"/>
          </w:tcPr>
          <w:p>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jc w:val="both"/>
              <w:textAlignment w:val="baseline"/>
              <w:rPr>
                <w:rFonts w:hint="default" w:ascii="方正仿宋_GBK" w:hAnsi="方正仿宋_GBK" w:eastAsia="方正仿宋_GBK" w:cs="方正仿宋_GBK"/>
                <w:b w:val="0"/>
                <w:i w:val="0"/>
                <w:caps w:val="0"/>
                <w:spacing w:val="0"/>
                <w:w w:val="100"/>
                <w:kern w:val="2"/>
                <w:sz w:val="24"/>
                <w:szCs w:val="24"/>
                <w:lang w:val="en-US" w:eastAsia="zh-CN" w:bidi="ar-SA"/>
              </w:rPr>
            </w:pPr>
            <w:r>
              <w:rPr>
                <w:rFonts w:hint="default" w:ascii="方正仿宋_GBK" w:hAnsi="方正仿宋_GBK" w:eastAsia="方正仿宋_GBK" w:cs="方正仿宋_GBK"/>
                <w:b w:val="0"/>
                <w:i w:val="0"/>
                <w:caps w:val="0"/>
                <w:spacing w:val="0"/>
                <w:w w:val="100"/>
                <w:kern w:val="2"/>
                <w:sz w:val="24"/>
                <w:szCs w:val="24"/>
                <w:lang w:val="en-US" w:eastAsia="zh-CN" w:bidi="ar-SA"/>
              </w:rPr>
              <w:t>收集、贮存</w:t>
            </w:r>
            <w:r>
              <w:rPr>
                <w:rFonts w:hint="eastAsia" w:ascii="方正仿宋_GBK" w:hAnsi="方正仿宋_GBK" w:eastAsia="方正仿宋_GBK" w:cs="方正仿宋_GBK"/>
                <w:b w:val="0"/>
                <w:i w:val="0"/>
                <w:caps w:val="0"/>
                <w:spacing w:val="0"/>
                <w:w w:val="100"/>
                <w:kern w:val="2"/>
                <w:sz w:val="24"/>
                <w:szCs w:val="24"/>
                <w:lang w:val="en-US" w:eastAsia="zh-CN" w:bidi="ar-SA"/>
              </w:rPr>
              <w:t>南通市</w:t>
            </w:r>
            <w:r>
              <w:rPr>
                <w:rFonts w:hint="default" w:ascii="方正仿宋_GBK" w:hAnsi="方正仿宋_GBK" w:eastAsia="方正仿宋_GBK" w:cs="方正仿宋_GBK"/>
                <w:b w:val="0"/>
                <w:i w:val="0"/>
                <w:caps w:val="0"/>
                <w:spacing w:val="0"/>
                <w:w w:val="100"/>
                <w:kern w:val="2"/>
                <w:sz w:val="24"/>
                <w:szCs w:val="24"/>
                <w:lang w:val="en-US" w:eastAsia="zh-CN" w:bidi="ar-SA"/>
              </w:rPr>
              <w:t>行政区域内</w:t>
            </w:r>
            <w:r>
              <w:rPr>
                <w:rFonts w:hint="eastAsia" w:ascii="方正仿宋_GBK" w:hAnsi="方正仿宋_GBK" w:eastAsia="方正仿宋_GBK" w:cs="方正仿宋_GBK"/>
                <w:b w:val="0"/>
                <w:i w:val="0"/>
                <w:caps w:val="0"/>
                <w:spacing w:val="0"/>
                <w:w w:val="100"/>
                <w:kern w:val="2"/>
                <w:sz w:val="24"/>
                <w:szCs w:val="24"/>
                <w:lang w:val="en-US" w:eastAsia="zh-CN" w:bidi="ar-SA"/>
              </w:rPr>
              <w:t>【HW03废药物、药品、HW04农药废物(263-010-04、263-012-04、900-003-04)、HW06废有机溶剂与含有机溶剂废物、HW08废矿物油与含矿物油废物(251-001-08、900-199-08、900-200-08、900-201-08、900-202-08、900-203-08、900-204-08、900-205-08、900-209-08、900-210-08、900-213-08、900-214-08、900-215-08、900-216-08、900-217-08、900-218-08、900-219-08、900-220-08、900-221-08、900-249-08)、HW09油/水、烃/水混合物或乳化液、HW11精(蒸)馏残渣(772-001-11、900-013-11)、HW12染料、涂料废物、HW13有机树脂类废物、HW16感光材料废物(不含266-009-16、266-010-16、398-001-16)、HW17表面处理废物(不含336-050-17、336-100-17)、HW22含铜废物、HW23含锌废物(不含312-001-23)、HW29含汞废物(不含072-002-29、091-003-29、322-002-29、231-007-29、265-001-29、265-002-29、265-003-29、265-004-29、321-030-29、321-033-29)、HW31含铅废物(不含398-052-31)、HW32无机氟化物废物、HW34废酸(不含251-014-34、313-001-34、398-005-34、398-006-34、398-007-34)、HW35废碱(不含251-015-35、193-003-35、221-002-35)、HW36石棉废物(不含109-001-36、261-060-36、373-002-36)、HW40含醚废物、HW45含有机卤化物废物、HW46含镍废物(不含384-005-46)、HW47含钡废物(336-106-47)、HW48有色金属冶炼废物</w:t>
            </w:r>
            <w:bookmarkStart w:id="1" w:name="_GoBack"/>
            <w:bookmarkEnd w:id="1"/>
            <w:r>
              <w:rPr>
                <w:rFonts w:hint="eastAsia" w:ascii="方正仿宋_GBK" w:hAnsi="方正仿宋_GBK" w:eastAsia="方正仿宋_GBK" w:cs="方正仿宋_GBK"/>
                <w:b w:val="0"/>
                <w:i w:val="0"/>
                <w:caps w:val="0"/>
                <w:spacing w:val="0"/>
                <w:w w:val="100"/>
                <w:kern w:val="2"/>
                <w:sz w:val="24"/>
                <w:szCs w:val="24"/>
                <w:lang w:val="en-US" w:eastAsia="zh-CN" w:bidi="ar-SA"/>
              </w:rPr>
              <w:t>、HW49其他废物(不含309-001-49、772-006-49、900-053-49、900-999-49)、HW50废催化剂(261-151-50、261-152-50、261-153-50、261-154-50、261-155-50、261-156-50、263-013-50、772-007-50、900-048-50、900-049-50),仅限一般源单位；重点源单位年产生量低于10吨(含10吨)的下述危险废物：废矿物油与含矿物油废物HW08,油/水、烃/水混合物或乳化液HW09,生产、销售及使用过程中产生的废含汞荧光灯管及其他含汞电光源(900-023-29),废铅蓄电池(900-052-31),含有或沾染毒性危险废物的废弃包装物、容器、过滤吸附介(900-041-49);科研院所、高等学校、各类检测机构产生的实验室废物(不含医疗废物、实验动物尸体及相关废弃物、涉及生物安全和疾病防治的其他废物);机动车维修机构、加油站产生的危险废物】5000吨/年#</w:t>
            </w:r>
          </w:p>
        </w:tc>
      </w:tr>
    </w:tbl>
    <w:p>
      <w:pPr>
        <w:snapToGrid/>
        <w:spacing w:before="0" w:beforeAutospacing="0" w:after="0" w:afterAutospacing="0" w:line="240" w:lineRule="auto"/>
        <w:jc w:val="both"/>
        <w:textAlignment w:val="baseline"/>
        <w:rPr>
          <w:rFonts w:ascii="Times New Roman" w:hAnsi="Times New Roman"/>
          <w:b w:val="0"/>
          <w:i w:val="0"/>
          <w:caps w:val="0"/>
          <w:spacing w:val="0"/>
          <w:w w:val="100"/>
          <w:sz w:val="20"/>
        </w:rPr>
      </w:pPr>
    </w:p>
    <w:tbl>
      <w:tblPr>
        <w:tblStyle w:val="5"/>
        <w:tblW w:w="9270"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5" w:hRule="atLeast"/>
        </w:trPr>
        <w:tc>
          <w:tcPr>
            <w:tcW w:w="9270" w:type="dxa"/>
            <w:noWrap w:val="0"/>
            <w:vAlign w:val="top"/>
          </w:tcPr>
          <w:p>
            <w:pPr>
              <w:snapToGrid/>
              <w:spacing w:before="0" w:beforeAutospacing="0" w:after="0" w:afterAutospacing="0" w:line="500" w:lineRule="exact"/>
              <w:jc w:val="left"/>
              <w:textAlignment w:val="baseline"/>
              <w:rPr>
                <w:rFonts w:hint="default" w:ascii="Times New Roman" w:hAnsi="Times New Roman" w:eastAsia="宋体" w:cs="Times New Roman"/>
                <w:b/>
                <w:bCs/>
                <w:i w:val="0"/>
                <w:caps w:val="0"/>
                <w:spacing w:val="0"/>
                <w:w w:val="100"/>
                <w:sz w:val="30"/>
                <w:szCs w:val="30"/>
                <w:highlight w:val="none"/>
                <w:lang w:val="en-US" w:eastAsia="zh-CN"/>
              </w:rPr>
            </w:pPr>
            <w:r>
              <w:rPr>
                <w:rFonts w:hint="default" w:ascii="Times New Roman" w:hAnsi="Times New Roman" w:eastAsia="宋体" w:cs="Times New Roman"/>
                <w:b/>
                <w:bCs/>
                <w:i w:val="0"/>
                <w:caps w:val="0"/>
                <w:spacing w:val="0"/>
                <w:w w:val="100"/>
                <w:sz w:val="30"/>
                <w:szCs w:val="30"/>
                <w:highlight w:val="none"/>
                <w:lang w:val="en-US" w:eastAsia="zh-CN"/>
              </w:rPr>
              <w:t>工艺流程图</w:t>
            </w:r>
          </w:p>
          <w:p>
            <w:pPr>
              <w:snapToGrid/>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drawing>
                <wp:anchor distT="0" distB="0" distL="114300" distR="114300" simplePos="0" relativeHeight="251659264" behindDoc="0" locked="0" layoutInCell="1" allowOverlap="1">
                  <wp:simplePos x="0" y="0"/>
                  <wp:positionH relativeFrom="column">
                    <wp:posOffset>757555</wp:posOffset>
                  </wp:positionH>
                  <wp:positionV relativeFrom="paragraph">
                    <wp:posOffset>125730</wp:posOffset>
                  </wp:positionV>
                  <wp:extent cx="4242435" cy="2022475"/>
                  <wp:effectExtent l="0" t="0" r="5715" b="1587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4242435" cy="2022475"/>
                          </a:xfrm>
                          <a:prstGeom prst="rect">
                            <a:avLst/>
                          </a:prstGeom>
                          <a:noFill/>
                          <a:ln>
                            <a:noFill/>
                          </a:ln>
                        </pic:spPr>
                      </pic:pic>
                    </a:graphicData>
                  </a:graphic>
                </wp:anchor>
              </w:drawing>
            </w:r>
          </w:p>
          <w:p>
            <w:pPr>
              <w:snapToGrid/>
              <w:spacing w:before="0" w:beforeAutospacing="0" w:after="0" w:afterAutospacing="0" w:line="500" w:lineRule="exact"/>
              <w:jc w:val="left"/>
              <w:textAlignment w:val="baseline"/>
              <w:rPr>
                <w:rFonts w:hint="default" w:ascii="Times New Roman" w:hAnsi="Times New Roman" w:eastAsia="宋体" w:cs="Times New Roman"/>
                <w:b/>
                <w:bCs/>
                <w:i w:val="0"/>
                <w:caps w:val="0"/>
                <w:spacing w:val="0"/>
                <w:w w:val="100"/>
                <w:sz w:val="30"/>
                <w:szCs w:val="30"/>
                <w:highlight w:val="none"/>
                <w:lang w:val="en-US" w:eastAsia="zh-CN"/>
              </w:rPr>
            </w:pPr>
            <w:r>
              <w:rPr>
                <w:rFonts w:hint="default" w:ascii="Times New Roman" w:hAnsi="Times New Roman" w:eastAsia="宋体" w:cs="Times New Roman"/>
                <w:b/>
                <w:bCs/>
                <w:i w:val="0"/>
                <w:caps w:val="0"/>
                <w:spacing w:val="0"/>
                <w:w w:val="100"/>
                <w:sz w:val="30"/>
                <w:szCs w:val="30"/>
                <w:highlight w:val="none"/>
                <w:lang w:val="en-US" w:eastAsia="zh-CN"/>
              </w:rPr>
              <w:t>工艺说明：</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（1）收集 </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危险废物由产废企业自行收集并暂存在厂区相应的暂存间内。该单位根据产废企业危险废物的产生量、固液状态等情况，在收集前提出相应的包装要求，危险废物产生单位按要求进行收集、包装。</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（2）物化性质检验与合同签订</w:t>
            </w:r>
          </w:p>
          <w:p>
            <w:pPr>
              <w:keepLines w:val="0"/>
              <w:widowControl w:val="0"/>
              <w:snapToGrid/>
              <w:spacing w:before="0" w:beforeAutospacing="0" w:after="0" w:afterAutospacing="0" w:line="360" w:lineRule="auto"/>
              <w:ind w:left="0" w:leftChars="0"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产废企业对产生的危险废物有转运需求时，危废收集贮存单位即派出相关专业人员对该企业进行现场踏勘；危废收集贮存单位根据产废企业提供的环境影响报告书（表），判定拟转运危险废物属于经营单位的经营许可范围之后，经营单位才能与产废企业签订该危险废物的中转暂存合同。如遇无法判定的危险废物，委托有能力的第三方检测机构对拟转运危险废物样品物理和化学性质进行分析判定，判定拟转运危险废物属于经营单位的经营许可之后，经营单位才能与产废企业签订该危险废物的中转暂存合同。</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（3）运输</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委托具备危险废物运输资质的单位承担危险废物收运任务，本项目不配备运输车辆，所有危险废物运输车辆不得作为他用，危险废物运输必须按照规定路线行驶。危险废物收运时，建设单位应派出管理人员随同，严格按照公司与产废单位达成的废物处置协议内容进行收运，不在协议范围内、与协议约定内容不一致或包装不符合相关要求的废物拒绝收运。 </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（4）入库前检验</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危险废物运输至本项目厂房，入库前应进行检验，确保同预定接收的危险废物一致。该检验工作委托有资质的单位承担。 </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5）卸车入库经检验符合暂存要求的危险废物，由运输车辆直接送至本项目卸车区，由厂房内叉车进行卸货。危险废物在由叉车从运输车辆卸下后，进行扫描登记并分类，再由叉车运输至相应的暂存区，各危险废物分区储存。项目入库与转运出库的包装方式不变，固态危险废物仍以袋装暂存，液态和半固态危险废物仍以桶装保存，不拆包装、不倒灌。 </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（6）登记注册 </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危险废物入库后，必须及时按照要求进行登记注册，按照危险废物来源、类别、数量、特性、入场时间等信息进行详细记录，同时在入库暂存位置放置信息明确的记录牌或记录表。 </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（7）贮存 </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各危险废物按照危险废物的种类和特性分区贮存，入库与转运出库的包装方式不变，固态危险废物仍以袋装暂存，液态和半固态危险废物仍以桶装保存，不拆包装、不倒灌。拟建项目在库房内可能进行合并包装，将多个小包装至于大包装中，以便于贮存或运输的需要，但均不拆包、不倒灌。危险废物按要求在库房内暂存，暂存时间不得超过6个月。</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 危废仓库贮存现场设置专职管理人员，安装连续视频监控设施，负责对危险废物的贮存进行管理和监控，管理人员每天定时巡视仓库内危险废物的包装容器和贮存设施，发现破损立即采取措施清理更换。所有进出危险废物建立详细的“危险废物进出台账”，记录上注明危险废物的名称、来源、数量、特性和包装容器的类别、收集日期、存放库位、出库日期及接收单位名称，并保留3年，保证危险废物无流失并彻底处置。</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（8）转运 </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建设单位根据收集的危险废物的类别、特性，提前与具有危险废物经营许可资质的专业环保公司签订危险废物的最终处置与资源化利用合同。当暂存的危险废物达到一定数量时，将其转运至有危险废物综合经营资质的单位进行综合利用或无害化处置。该运输过程委托具有危险废物运输资质的单位采用汽车进行运输。同时考虑暂存危险废物包装材料破损的情况，厂区备有一定的应急包装，如包装桶（200L、50L或1000L桶）、包袋装（25kg/袋）等。拟建项目在装卸、贮存过程，若盛装危险废物的包装发生破损，立即将破损的包装及其撒漏的危险废物一并置于应急包装中，不拆包装、不倒灌。应急处理时使用的包装将随收集的危险废物一并交危险废物处置单位处置。危废出库程序如下：</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①出库负责人接到由主管领导签发的出库通知单时，将出库内容通知到仓库管理人员；</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②库房管理人员穿戴好必要的防护用品，按操作要求，先在本库表格上登记后，将危险废物提出库房送到指定地点；</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③出库负责人复查通知单上已填写的、适当的处理处置方法，否则不予出库；</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④按入库时的要求检查包装、标志、标签及数量；</w:t>
            </w:r>
          </w:p>
          <w:p>
            <w:pPr>
              <w:pStyle w:val="8"/>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⑤以上内容检验合格后，在出库通知单上签名并加盖单位出库专用章。</w:t>
            </w:r>
          </w:p>
          <w:p>
            <w:pPr>
              <w:snapToGrid/>
              <w:spacing w:before="0" w:beforeAutospacing="0" w:after="0" w:afterAutospacing="0" w:line="5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p>
          <w:p>
            <w:pPr>
              <w:snapToGrid/>
              <w:spacing w:before="0" w:beforeAutospacing="0" w:after="0" w:afterAutospacing="0" w:line="5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主要生产设备清单表</w:t>
            </w:r>
          </w:p>
          <w:tbl>
            <w:tblPr>
              <w:tblStyle w:val="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03"/>
              <w:gridCol w:w="2031"/>
              <w:gridCol w:w="1922"/>
              <w:gridCol w:w="717"/>
              <w:gridCol w:w="928"/>
              <w:gridCol w:w="2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20"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序号</w:t>
                  </w:r>
                </w:p>
              </w:tc>
              <w:tc>
                <w:tcPr>
                  <w:tcW w:w="1121"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名称</w:t>
                  </w:r>
                </w:p>
              </w:tc>
              <w:tc>
                <w:tcPr>
                  <w:tcW w:w="1062"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型号、规格</w:t>
                  </w:r>
                </w:p>
              </w:tc>
              <w:tc>
                <w:tcPr>
                  <w:tcW w:w="39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单位</w:t>
                  </w:r>
                </w:p>
              </w:tc>
              <w:tc>
                <w:tcPr>
                  <w:tcW w:w="513"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数量</w:t>
                  </w:r>
                </w:p>
              </w:tc>
              <w:tc>
                <w:tcPr>
                  <w:tcW w:w="118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1</w:t>
                  </w:r>
                </w:p>
              </w:tc>
              <w:tc>
                <w:tcPr>
                  <w:tcW w:w="1121"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叉车</w:t>
                  </w:r>
                </w:p>
              </w:tc>
              <w:tc>
                <w:tcPr>
                  <w:tcW w:w="1062"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w:t>
                  </w:r>
                </w:p>
              </w:tc>
              <w:tc>
                <w:tcPr>
                  <w:tcW w:w="39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辆</w:t>
                  </w:r>
                </w:p>
              </w:tc>
              <w:tc>
                <w:tcPr>
                  <w:tcW w:w="513" w:type="pct"/>
                  <w:noWrap w:val="0"/>
                  <w:vAlign w:val="center"/>
                </w:tcPr>
                <w:p>
                  <w:pPr>
                    <w:keepLines w:val="0"/>
                    <w:widowControl w:val="0"/>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2</w:t>
                  </w:r>
                </w:p>
              </w:tc>
              <w:tc>
                <w:tcPr>
                  <w:tcW w:w="118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pct"/>
                  <w:noWrap w:val="0"/>
                  <w:vAlign w:val="center"/>
                </w:tcPr>
                <w:p>
                  <w:pPr>
                    <w:keepLines w:val="0"/>
                    <w:widowControl w:val="0"/>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2</w:t>
                  </w:r>
                </w:p>
              </w:tc>
              <w:tc>
                <w:tcPr>
                  <w:tcW w:w="1121"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事故应急池</w:t>
                  </w:r>
                </w:p>
              </w:tc>
              <w:tc>
                <w:tcPr>
                  <w:tcW w:w="1062"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700</w:t>
                  </w: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m3</w:t>
                  </w:r>
                </w:p>
              </w:tc>
              <w:tc>
                <w:tcPr>
                  <w:tcW w:w="39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个</w:t>
                  </w:r>
                </w:p>
              </w:tc>
              <w:tc>
                <w:tcPr>
                  <w:tcW w:w="513"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w:t>
                  </w:r>
                </w:p>
              </w:tc>
              <w:tc>
                <w:tcPr>
                  <w:tcW w:w="118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pct"/>
                  <w:noWrap w:val="0"/>
                  <w:vAlign w:val="center"/>
                </w:tcPr>
                <w:p>
                  <w:pPr>
                    <w:keepLines w:val="0"/>
                    <w:widowControl w:val="0"/>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3</w:t>
                  </w:r>
                </w:p>
              </w:tc>
              <w:tc>
                <w:tcPr>
                  <w:tcW w:w="1121"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地磅</w:t>
                  </w:r>
                </w:p>
              </w:tc>
              <w:tc>
                <w:tcPr>
                  <w:tcW w:w="1062"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w:t>
                  </w:r>
                </w:p>
              </w:tc>
              <w:tc>
                <w:tcPr>
                  <w:tcW w:w="39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个</w:t>
                  </w:r>
                </w:p>
              </w:tc>
              <w:tc>
                <w:tcPr>
                  <w:tcW w:w="513"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1</w:t>
                  </w:r>
                </w:p>
              </w:tc>
              <w:tc>
                <w:tcPr>
                  <w:tcW w:w="118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pct"/>
                  <w:noWrap w:val="0"/>
                  <w:vAlign w:val="center"/>
                </w:tcPr>
                <w:p>
                  <w:pPr>
                    <w:keepLines w:val="0"/>
                    <w:widowControl w:val="0"/>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4</w:t>
                  </w:r>
                </w:p>
              </w:tc>
              <w:tc>
                <w:tcPr>
                  <w:tcW w:w="1121"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塑料</w:t>
                  </w: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托盘</w:t>
                  </w:r>
                </w:p>
              </w:tc>
              <w:tc>
                <w:tcPr>
                  <w:tcW w:w="1062"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w:t>
                  </w:r>
                </w:p>
              </w:tc>
              <w:tc>
                <w:tcPr>
                  <w:tcW w:w="39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个</w:t>
                  </w:r>
                </w:p>
              </w:tc>
              <w:tc>
                <w:tcPr>
                  <w:tcW w:w="513"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若干</w:t>
                  </w:r>
                </w:p>
              </w:tc>
              <w:tc>
                <w:tcPr>
                  <w:tcW w:w="118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5</w:t>
                  </w:r>
                </w:p>
              </w:tc>
              <w:tc>
                <w:tcPr>
                  <w:tcW w:w="1121" w:type="pct"/>
                  <w:noWrap w:val="0"/>
                  <w:vAlign w:val="center"/>
                </w:tcPr>
                <w:p>
                  <w:pPr>
                    <w:keepLines w:val="0"/>
                    <w:widowControl w:val="0"/>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包装桶</w:t>
                  </w:r>
                </w:p>
              </w:tc>
              <w:tc>
                <w:tcPr>
                  <w:tcW w:w="1062"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w:t>
                  </w:r>
                </w:p>
              </w:tc>
              <w:tc>
                <w:tcPr>
                  <w:tcW w:w="39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个</w:t>
                  </w:r>
                </w:p>
              </w:tc>
              <w:tc>
                <w:tcPr>
                  <w:tcW w:w="513"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若干</w:t>
                  </w:r>
                </w:p>
              </w:tc>
              <w:tc>
                <w:tcPr>
                  <w:tcW w:w="118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20"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6</w:t>
                  </w:r>
                </w:p>
              </w:tc>
              <w:tc>
                <w:tcPr>
                  <w:tcW w:w="1121" w:type="pct"/>
                  <w:noWrap w:val="0"/>
                  <w:vAlign w:val="center"/>
                </w:tcPr>
                <w:p>
                  <w:pPr>
                    <w:keepLines w:val="0"/>
                    <w:widowControl w:val="0"/>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包装袋</w:t>
                  </w:r>
                </w:p>
              </w:tc>
              <w:tc>
                <w:tcPr>
                  <w:tcW w:w="1062"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w:t>
                  </w:r>
                </w:p>
              </w:tc>
              <w:tc>
                <w:tcPr>
                  <w:tcW w:w="39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个</w:t>
                  </w:r>
                </w:p>
              </w:tc>
              <w:tc>
                <w:tcPr>
                  <w:tcW w:w="513"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若干</w:t>
                  </w:r>
                </w:p>
              </w:tc>
              <w:tc>
                <w:tcPr>
                  <w:tcW w:w="1186" w:type="pct"/>
                  <w:noWrap w:val="0"/>
                  <w:vAlign w:val="center"/>
                </w:tcPr>
                <w:p>
                  <w:pPr>
                    <w:keepLines w:val="0"/>
                    <w:widowControl w:val="0"/>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外购</w:t>
                  </w:r>
                </w:p>
              </w:tc>
            </w:tr>
          </w:tbl>
          <w:p>
            <w:pPr>
              <w:pStyle w:val="9"/>
              <w:numPr>
                <w:ilvl w:val="2"/>
                <w:numId w:val="0"/>
              </w:numPr>
              <w:snapToGrid/>
              <w:spacing w:before="120" w:beforeAutospacing="0" w:after="0" w:afterAutospacing="0" w:line="240" w:lineRule="auto"/>
              <w:ind w:left="890" w:hanging="17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污染防治设施</w:t>
            </w:r>
          </w:p>
          <w:p>
            <w:pPr>
              <w:pStyle w:val="9"/>
              <w:numPr>
                <w:ilvl w:val="2"/>
                <w:numId w:val="0"/>
              </w:numPr>
              <w:snapToGrid/>
              <w:spacing w:before="120" w:beforeAutospacing="0" w:after="0" w:afterAutospacing="0" w:line="240" w:lineRule="auto"/>
              <w:ind w:left="890" w:hanging="17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配套废气处置设备一览表</w:t>
            </w:r>
          </w:p>
          <w:tbl>
            <w:tblPr>
              <w:tblStyle w:val="5"/>
              <w:tblpPr w:leftFromText="180" w:rightFromText="180" w:vertAnchor="text" w:horzAnchor="page" w:tblpX="1596" w:tblpY="62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978"/>
              <w:gridCol w:w="2492"/>
              <w:gridCol w:w="1393"/>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blHeader/>
              </w:trPr>
              <w:tc>
                <w:tcPr>
                  <w:tcW w:w="505" w:type="pct"/>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序号</w:t>
                  </w:r>
                </w:p>
              </w:tc>
              <w:tc>
                <w:tcPr>
                  <w:tcW w:w="1646" w:type="pct"/>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设备名称</w:t>
                  </w:r>
                </w:p>
              </w:tc>
              <w:tc>
                <w:tcPr>
                  <w:tcW w:w="1377" w:type="pct"/>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规格型号</w:t>
                  </w:r>
                </w:p>
              </w:tc>
              <w:tc>
                <w:tcPr>
                  <w:tcW w:w="770" w:type="pct"/>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数量</w:t>
                  </w:r>
                </w:p>
              </w:tc>
              <w:tc>
                <w:tcPr>
                  <w:tcW w:w="700" w:type="pct"/>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05" w:type="pct"/>
                  <w:vMerge w:val="restart"/>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w:t>
                  </w:r>
                </w:p>
              </w:tc>
              <w:tc>
                <w:tcPr>
                  <w:tcW w:w="1646" w:type="pct"/>
                  <w:vMerge w:val="restart"/>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排气筒</w:t>
                  </w:r>
                </w:p>
              </w:tc>
              <w:tc>
                <w:tcPr>
                  <w:tcW w:w="1377" w:type="pct"/>
                  <w:noWrap w:val="0"/>
                  <w:vAlign w:val="center"/>
                </w:tcPr>
                <w:p>
                  <w:pPr>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防爆轴流风机</w:t>
                  </w:r>
                </w:p>
                <w:p>
                  <w:pPr>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风量：68678m3/h</w:t>
                  </w:r>
                </w:p>
              </w:tc>
              <w:tc>
                <w:tcPr>
                  <w:tcW w:w="770" w:type="pct"/>
                  <w:noWrap w:val="0"/>
                  <w:vAlign w:val="center"/>
                </w:tcPr>
                <w:p>
                  <w:pPr>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w:t>
                  </w:r>
                </w:p>
              </w:tc>
              <w:tc>
                <w:tcPr>
                  <w:tcW w:w="700" w:type="pct"/>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05" w:type="pct"/>
                  <w:vMerge w:val="continue"/>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p>
              </w:tc>
              <w:tc>
                <w:tcPr>
                  <w:tcW w:w="1646" w:type="pct"/>
                  <w:vMerge w:val="continue"/>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p>
              </w:tc>
              <w:tc>
                <w:tcPr>
                  <w:tcW w:w="1377" w:type="pct"/>
                  <w:noWrap w:val="0"/>
                  <w:vAlign w:val="center"/>
                </w:tcPr>
                <w:p>
                  <w:pPr>
                    <w:snapToGrid w:val="0"/>
                    <w:spacing w:before="0" w:beforeAutospacing="0" w:after="0" w:afterAutospacing="0" w:line="240" w:lineRule="auto"/>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风量：25000 m3/h</w:t>
                  </w:r>
                </w:p>
              </w:tc>
              <w:tc>
                <w:tcPr>
                  <w:tcW w:w="770" w:type="pct"/>
                  <w:noWrap w:val="0"/>
                  <w:vAlign w:val="center"/>
                </w:tcPr>
                <w:p>
                  <w:pPr>
                    <w:snapToGrid w:val="0"/>
                    <w:spacing w:before="0" w:beforeAutospacing="0" w:after="0" w:afterAutospacing="0" w:line="240" w:lineRule="auto"/>
                    <w:jc w:val="center"/>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w:t>
                  </w:r>
                </w:p>
              </w:tc>
              <w:tc>
                <w:tcPr>
                  <w:tcW w:w="700" w:type="pct"/>
                  <w:noWrap w:val="0"/>
                  <w:vAlign w:val="center"/>
                </w:tcPr>
                <w:p>
                  <w:pPr>
                    <w:snapToGrid/>
                    <w:spacing w:before="0" w:beforeAutospacing="0" w:after="0" w:afterAutospacing="0" w:line="300" w:lineRule="exact"/>
                    <w:jc w:val="center"/>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p>
              </w:tc>
            </w:tr>
          </w:tbl>
          <w:p>
            <w:pPr>
              <w:snapToGrid/>
              <w:spacing w:before="0" w:beforeAutospacing="0" w:after="0" w:afterAutospacing="0" w:line="240" w:lineRule="auto"/>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p>
          <w:p>
            <w:pPr>
              <w:widowControl/>
              <w:snapToGrid/>
              <w:spacing w:before="0" w:beforeAutospacing="0" w:after="0" w:afterAutospacing="0" w:line="500" w:lineRule="exact"/>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p>
          <w:p>
            <w:pPr>
              <w:snapToGrid/>
              <w:spacing w:before="0" w:beforeAutospacing="0" w:after="0" w:afterAutospacing="0" w:line="500" w:lineRule="exact"/>
              <w:jc w:val="left"/>
              <w:textAlignment w:val="baseline"/>
              <w:rPr>
                <w:rFonts w:hint="default" w:ascii="Times New Roman" w:hAnsi="Times New Roman" w:eastAsia="宋体" w:cs="Times New Roman"/>
                <w:b/>
                <w:bCs/>
                <w:i w:val="0"/>
                <w:caps w:val="0"/>
                <w:spacing w:val="0"/>
                <w:w w:val="100"/>
                <w:sz w:val="30"/>
                <w:szCs w:val="30"/>
                <w:highlight w:val="none"/>
                <w:lang w:val="en-US" w:eastAsia="zh-CN"/>
              </w:rPr>
            </w:pPr>
            <w:r>
              <w:rPr>
                <w:rFonts w:hint="default" w:ascii="Times New Roman" w:hAnsi="Times New Roman" w:eastAsia="宋体" w:cs="Times New Roman"/>
                <w:b/>
                <w:bCs/>
                <w:i w:val="0"/>
                <w:caps w:val="0"/>
                <w:spacing w:val="0"/>
                <w:w w:val="100"/>
                <w:sz w:val="30"/>
                <w:szCs w:val="30"/>
                <w:highlight w:val="none"/>
                <w:lang w:val="en-US" w:eastAsia="zh-CN"/>
              </w:rPr>
              <w:t>废物的运输：</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1、废物的运输方式</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    厂外运输采用汽车公路运输，外委社会运输单位，厂内运输自备叉车辆。</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2、现有运输工具数量和资质</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    来源：委托海安市安达石油化工运输有限公司运输</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    海安市安达石油化工运输有限公司具有中华人民共和国道路运输经营许可证（苏交运管许可通字320600301007号）。经营性道路危险货物运输（1类4项，2类1项，2类2项，2类3项，3类，4类1项，4类2项，4类3项，5类1项，6类1项，8类，9类，剧毒化学、危险废物）</w:t>
            </w:r>
          </w:p>
          <w:p>
            <w:pPr>
              <w:numPr>
                <w:ilvl w:val="0"/>
                <w:numId w:val="2"/>
              </w:num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废物运输时的应急方案和工具</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 xml:space="preserve">   备齐消防器材，并配备干粉、泡沫、CO2灭火器；搬运时严格执行轻装轻卸，防止包装破损。</w:t>
            </w:r>
          </w:p>
          <w:p>
            <w:pPr>
              <w:pStyle w:val="2"/>
              <w:numPr>
                <w:ilvl w:val="2"/>
                <w:numId w:val="0"/>
              </w:numPr>
              <w:snapToGrid/>
              <w:spacing w:before="120" w:beforeAutospacing="0" w:after="0" w:afterAutospacing="0" w:line="240" w:lineRule="auto"/>
              <w:ind w:left="0" w:leftChars="0"/>
              <w:jc w:val="left"/>
              <w:textAlignment w:val="baseline"/>
              <w:rPr>
                <w:rFonts w:hint="eastAsia"/>
                <w:b/>
                <w:i w:val="0"/>
                <w:caps w:val="0"/>
                <w:spacing w:val="0"/>
                <w:w w:val="100"/>
                <w:sz w:val="28"/>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r>
              <w:rPr>
                <w:rFonts w:hint="eastAsia" w:ascii="Times New Roman" w:hAnsi="Times New Roman" w:eastAsia="宋体" w:cs="Times New Roman"/>
                <w:b/>
                <w:bCs/>
                <w:i w:val="0"/>
                <w:caps w:val="0"/>
                <w:spacing w:val="0"/>
                <w:w w:val="100"/>
                <w:sz w:val="30"/>
                <w:szCs w:val="30"/>
                <w:highlight w:val="none"/>
                <w:lang w:val="en-US" w:eastAsia="zh-CN"/>
              </w:rPr>
              <w:t>废物运输时的应急方案</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(一)、报警：</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1、报警程序：</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（1）事发地公安110、消防119、救护120、交通事故122。</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（2）本单位。</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（3）公司领导向公司所在地有关部门报告。</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2、报警内容：</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准确报告事故发生的地点、时间、车辆损坏及人员伤亡情况、承运的化学危险品的名称、货物泄漏（撒漏）简要情况等。</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（二）事故现场应急处理：</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发生事故后，驾驶员、押运员应根据《道路运输危险货物安全卡》的要求，采取相应的应急措施，(如：在可能的情况下将车辆驶至空旷处)，驾驶员将发动机熄火，切断车辆电源总开关，押运员立即至安全距离以外报警。</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2、指挥周围车辆及无关人员迅速离开，事故发生点周围50米范围内禁止明火，穿戴防护用品在确保安全的情况下及时堵漏，防止事态扩大。</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3、疏散事故现场周围易燃、易爆物品，防止事故扩大。</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4、做好现场警戒工作，迎接相关行政部门及应急救援人员的到来。</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（三）、驾驶员、押运员应急自救</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1、翻车事故救援预案</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A、发生事故，驾驶员、押运员须立即自救，迅速离开驾驶室。若发生车门变形、物品堵塞，造成车门无法开启时，应打碎驾驶室的玻璃设法脱身。</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B、根据车辆翻车地点、地形、地貌和车辆侧倾程度，迅速判断是否有继续翻动的可能，尽可能就地取材稳定车辆，并立即检查是否有泄漏情况，一旦发生泄漏，在确保自身安全的情况下，针对所载化学物品的性质实施堵漏，防止事态扩大。</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C、如是空车在本地区发生事故，应立即通知应急救援小组派车起吊；若是重车不论泄漏与否（若发生泄漏则启动泄漏事故应急预案），应立即报警。</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D、在公安、消防人员未到达之前，做好看护工作，警告闲杂人员离开现场。事发点50米范围内禁止明火，打开灭火器保险栓在安全区域外进行现场监护。</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E、公安、消防人员到达现场后，听从指挥，协助调查处理，配合起吊车辆进行复位作业。若有伤员必须立即设法抢救。</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2、泄漏事故救援预案</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化学危险品运输车辆发生泄漏事故，首先驾驶员应尽可能地将车辆驶向空旷处，驾驶员、押运员应迅速查明泄漏原因。</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A、在确保自身安全的情况下迅速堵漏。</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B、无法堵漏或泄漏较大的，应立即报警。如要害部位（政府、机关、学校、重点科研单位、仓库或者人群密集地），尽快驶离或者拖离至其他较空旷的地方，将发动机熄火、切断车辆总电源，并在50米范围内设置进火区域，禁止车辆驶入、明火进入或其他可能发生火花的作业。</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C、现场隔离，劝告无关人员离开，打开灭火器保险栓，进行现场监护。消防119、救护120、交通事故122、治安110到场后，无条件服从指挥。</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D、应急救援人员到达后无条件服从指挥，配合做好应急救援善后处理工作。</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3、撞车事故预案</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A、发生撞车事故后应立即报警。</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B、报警时，应告知发生事故的准确地点、现场状况、可能扩大的灾情，同时保护现场。如有生命危险的，请求过路群众或车辆紧急抢救。</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C、等待救援小组及公安等救援部门到达之前，告诫围观和过路群众迅速撤离。</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D、公安和救援人员到达后无条件服从指挥，配合做好善后处理工作。</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4、火灾（爆炸）事故救援预案</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A、车辆在装卸货物和行驶过程中一旦发现火灾、爆炸，驾驶员、押运员应确保自身安全情况下，迅速用自备灭火器或附近可用物资扑灭初起火源。</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B、火情较大无法扑救时，驾驶员、押运员应迅速撤离现场，同时一个人应立即拨打119报警。报警时应讲明出事地点、所装货物名称。另外一个人负责疏散人员，积极配合消防部门做好扑救工作。</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C、等待救援小组和相关救援部门到达之前，应告诫事发点附近群众迅速撤离。</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D、有关部门和救援人员到达后无条件服从指挥，配合做好应急救援和善后处理工作。</w:t>
            </w:r>
          </w:p>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（四）应急救援小组紧急救援</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1、公司人员接到驾驶员、押运员报告后，在第一时间内报告总指挥或者副总指挥，总指挥接到报告后，立即向政府相关部门报告并通知副总指挥及各救援小组迅速集合。</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2、全体救援人员集合后，总指挥或副总指挥向全体救援人员通报事故情况，并针对事故车辆所载化学物品的特性及事故风险预测组的预测结果，告知救援人员救援办法及救援过程中应注意的相关事项，要求各救援小组以及救援人员严格针对所载化学品的化学特性迅速按照预定方案实施救援，随后，各小组奔赴现场。</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3、到达现场后，抢救疏散人员根据救援和扑救要求，按各自分工，携带救援设备、防护用品，在安全隔离区外待命，并穿戴好防护用品准备进入现场施救。</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4、现场指挥组组长、副组长到达事故现场后，主动与现场的警戒人员联系并介绍自己身份，力争进入警戒区，接受和配合当地救援人员实施救援。</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5、负责现场保卫及安全警戒人员在组长的指挥下，疏散隔离区内的无关人员及车辆。对隔离区外实施防护指导，阻止无关人员进入隔离区。若有人员受伤，负责医疗救护人员立即与有关医疗、救护部门联络并护送伤员上120救护车。</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6、抢险消防人员在组长的指挥下，对可能发生或已经发生的火灾等实施扑救。如需驳载，立即实施驳载，并在确保安全的情况下堵漏。</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7、负责物资疏散、组织起吊事故车辆，起吊过程中应接入有效的接地线。</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8、负责后勤保障人员在组长的指挥下，向参加救援的所有人员提供必需的防护物品、食品、饮用水和必需的钱、物。此项工作需贯穿于整个救援过程中。</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9、负责通讯联络者，应确保对内对外的通讯联络畅通无阻。</w:t>
            </w:r>
          </w:p>
          <w:p>
            <w:pPr>
              <w:snapToGrid/>
              <w:spacing w:before="0" w:beforeAutospacing="0" w:after="0" w:afterAutospacing="0" w:line="500" w:lineRule="exact"/>
              <w:ind w:firstLine="560" w:firstLineChars="2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10、所有参加抢险救援人员应随时听从总指挥、副总指挥的调遣。在紧急情况下，主动与交通警戒的的公安干警沟通，必要时请求警车开道护送，以完成紧急情况下的运输和通行任务。</w:t>
            </w:r>
          </w:p>
          <w:p>
            <w:pPr>
              <w:snapToGrid/>
              <w:spacing w:before="0" w:beforeAutospacing="0" w:after="0" w:afterAutospacing="0" w:line="500" w:lineRule="exact"/>
              <w:ind w:firstLine="560" w:firstLineChars="200"/>
              <w:jc w:val="left"/>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11、负责善后处理人员配合相关部门负责事故原因的调查、取证与记录；事发点周围地区污染物的扩散检测。为灾后评估与事故处理提供依据。并将事故原因、主要施救过程、事故影响、事故后果等整理成书面材料提交给总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9270" w:type="dxa"/>
            <w:noWrap w:val="0"/>
            <w:vAlign w:val="top"/>
          </w:tcPr>
          <w:p>
            <w:pPr>
              <w:snapToGrid/>
              <w:spacing w:before="0" w:beforeAutospacing="0" w:after="0" w:afterAutospacing="0" w:line="500" w:lineRule="exact"/>
              <w:jc w:val="left"/>
              <w:textAlignment w:val="baseline"/>
              <w:rPr>
                <w:rFonts w:hint="default" w:ascii="Times New Roman" w:hAnsi="Times New Roman" w:eastAsia="宋体" w:cs="Times New Roman"/>
                <w:b w:val="0"/>
                <w:i w:val="0"/>
                <w:caps w:val="0"/>
                <w:spacing w:val="0"/>
                <w:w w:val="100"/>
                <w:sz w:val="30"/>
                <w:szCs w:val="30"/>
                <w:highlight w:val="none"/>
              </w:rPr>
            </w:pPr>
            <w:r>
              <w:rPr>
                <w:rFonts w:hint="default" w:ascii="Times New Roman" w:hAnsi="Times New Roman" w:eastAsia="宋体" w:cs="Times New Roman"/>
                <w:b/>
                <w:bCs/>
                <w:i w:val="0"/>
                <w:caps w:val="0"/>
                <w:spacing w:val="0"/>
                <w:w w:val="100"/>
                <w:sz w:val="30"/>
                <w:szCs w:val="30"/>
                <w:highlight w:val="none"/>
              </w:rPr>
              <w:t>废物的贮存/暂存/处置方式</w:t>
            </w:r>
            <w:r>
              <w:rPr>
                <w:rFonts w:hint="default" w:ascii="Times New Roman" w:hAnsi="Times New Roman" w:eastAsia="宋体" w:cs="Times New Roman"/>
                <w:b w:val="0"/>
                <w:i w:val="0"/>
                <w:caps w:val="0"/>
                <w:spacing w:val="0"/>
                <w:w w:val="100"/>
                <w:sz w:val="30"/>
                <w:szCs w:val="30"/>
                <w:highlight w:val="none"/>
              </w:rPr>
              <w:t>：</w:t>
            </w:r>
          </w:p>
          <w:p>
            <w:pPr>
              <w:pStyle w:val="2"/>
              <w:numPr>
                <w:ilvl w:val="2"/>
                <w:numId w:val="0"/>
              </w:numPr>
              <w:snapToGrid/>
              <w:spacing w:before="120" w:beforeAutospacing="0" w:after="0" w:afterAutospacing="0" w:line="240" w:lineRule="auto"/>
              <w:ind w:left="0" w:leftChars="0" w:firstLine="600"/>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本项目仅对危废进行贮存，所有危废将委托有资质的第三方进行处置。固体危废由产废企业使用包装袋打包，液体使用包装桶。再由本企业委托有资质第三方运送至危废仓库进行贮存。各危险废物按照危险废物的种类和特性分区贮存，入库与转运出库的包装方式不变，固态危险废物仍以袋装暂存，液态和半固态危险废物仍以桶装保存，不拆包装、不倒灌。本项目建设有东库和西库两个危险废物仓库，均按照《危险废物贮存污染控制标准》（GB18597-2001）进行建设。</w:t>
            </w:r>
          </w:p>
          <w:p>
            <w:pPr>
              <w:snapToGrid/>
              <w:spacing w:before="0" w:beforeAutospacing="0" w:after="0" w:afterAutospacing="0" w:line="240" w:lineRule="auto"/>
              <w:ind w:firstLine="600"/>
              <w:jc w:val="both"/>
              <w:textAlignment w:val="baseline"/>
              <w:rPr>
                <w:rFonts w:hint="default"/>
                <w:b w:val="0"/>
                <w:i w:val="0"/>
                <w:caps w:val="0"/>
                <w:spacing w:val="0"/>
                <w:w w:val="100"/>
                <w:sz w:val="20"/>
                <w:highlight w:val="none"/>
                <w:lang w:val="en-US" w:eastAsia="zh-CN"/>
              </w:rPr>
            </w:pPr>
          </w:p>
          <w:p>
            <w:pPr>
              <w:snapToGrid/>
              <w:spacing w:before="0" w:beforeAutospacing="0" w:after="0" w:afterAutospacing="0" w:line="360" w:lineRule="auto"/>
              <w:jc w:val="both"/>
              <w:textAlignment w:val="baseline"/>
              <w:rPr>
                <w:rFonts w:hint="eastAsia" w:eastAsia="宋体" w:cs="Times New Roman"/>
                <w:b/>
                <w:bCs/>
                <w:i w:val="0"/>
                <w:caps w:val="0"/>
                <w:spacing w:val="0"/>
                <w:w w:val="100"/>
                <w:sz w:val="30"/>
                <w:szCs w:val="30"/>
                <w:highlight w:val="none"/>
                <w:lang w:val="en-US" w:eastAsia="zh-CN"/>
              </w:rPr>
            </w:pPr>
            <w:r>
              <w:rPr>
                <w:rFonts w:hint="default" w:ascii="Times New Roman" w:hAnsi="Times New Roman" w:eastAsia="宋体" w:cs="Times New Roman"/>
                <w:b/>
                <w:bCs/>
                <w:i w:val="0"/>
                <w:caps w:val="0"/>
                <w:spacing w:val="0"/>
                <w:w w:val="100"/>
                <w:sz w:val="30"/>
                <w:szCs w:val="30"/>
                <w:highlight w:val="none"/>
                <w:lang w:val="en-US" w:eastAsia="zh-CN"/>
              </w:rPr>
              <w:t>废物贮存场所情况简述</w:t>
            </w:r>
            <w:r>
              <w:rPr>
                <w:rFonts w:hint="eastAsia" w:eastAsia="宋体" w:cs="Times New Roman"/>
                <w:b/>
                <w:bCs/>
                <w:i w:val="0"/>
                <w:caps w:val="0"/>
                <w:spacing w:val="0"/>
                <w:w w:val="100"/>
                <w:sz w:val="30"/>
                <w:szCs w:val="30"/>
                <w:highlight w:val="none"/>
                <w:lang w:val="en-US" w:eastAsia="zh-CN"/>
              </w:rPr>
              <w:t>：</w:t>
            </w:r>
          </w:p>
          <w:p>
            <w:pPr>
              <w:snapToGrid/>
              <w:spacing w:before="0" w:beforeAutospacing="0" w:after="0" w:afterAutospacing="0" w:line="360" w:lineRule="auto"/>
              <w:ind w:firstLine="560" w:firstLineChars="200"/>
              <w:jc w:val="both"/>
              <w:textAlignment w:val="baseline"/>
              <w:rPr>
                <w:rFonts w:hint="default" w:ascii="Times New Roman" w:hAnsi="Times New Roman" w:eastAsia="宋体" w:cs="Times New Roman"/>
                <w:b/>
                <w:bCs/>
                <w:i w:val="0"/>
                <w:caps w:val="0"/>
                <w:spacing w:val="0"/>
                <w:w w:val="100"/>
                <w:sz w:val="30"/>
                <w:szCs w:val="30"/>
                <w:highlight w:val="none"/>
                <w:lang w:val="en-US" w:eastAsia="zh-CN"/>
              </w:rPr>
            </w:pPr>
            <w:r>
              <w:rPr>
                <w:rFonts w:hint="eastAsia" w:ascii="方正仿宋_GBK" w:hAnsi="方正仿宋_GBK" w:eastAsia="方正仿宋_GBK" w:cs="方正仿宋_GBK"/>
                <w:b w:val="0"/>
                <w:i w:val="0"/>
                <w:caps w:val="0"/>
                <w:spacing w:val="0"/>
                <w:w w:val="100"/>
                <w:kern w:val="0"/>
                <w:sz w:val="28"/>
                <w:szCs w:val="28"/>
                <w:highlight w:val="none"/>
                <w:lang w:val="en-US" w:eastAsia="zh-CN"/>
              </w:rPr>
              <w:t>危废贮</w:t>
            </w:r>
            <w:r>
              <w:rPr>
                <w:rFonts w:hint="eastAsia" w:ascii="方正仿宋_GBK" w:hAnsi="方正仿宋_GBK" w:eastAsia="方正仿宋_GBK" w:cs="方正仿宋_GBK"/>
                <w:b w:val="0"/>
                <w:i w:val="0"/>
                <w:caps w:val="0"/>
                <w:spacing w:val="0"/>
                <w:w w:val="100"/>
                <w:sz w:val="28"/>
                <w:szCs w:val="28"/>
                <w:highlight w:val="none"/>
              </w:rPr>
              <w:t>存</w:t>
            </w:r>
            <w:r>
              <w:rPr>
                <w:rFonts w:hint="eastAsia" w:ascii="方正仿宋_GBK" w:hAnsi="方正仿宋_GBK" w:eastAsia="方正仿宋_GBK" w:cs="方正仿宋_GBK"/>
                <w:b w:val="0"/>
                <w:i w:val="0"/>
                <w:caps w:val="0"/>
                <w:spacing w:val="0"/>
                <w:w w:val="100"/>
                <w:sz w:val="28"/>
                <w:szCs w:val="28"/>
                <w:highlight w:val="none"/>
                <w:lang w:eastAsia="zh-CN"/>
              </w:rPr>
              <w:t>设定为</w:t>
            </w:r>
            <w:r>
              <w:rPr>
                <w:rFonts w:hint="eastAsia" w:ascii="方正仿宋_GBK" w:hAnsi="方正仿宋_GBK" w:eastAsia="方正仿宋_GBK" w:cs="方正仿宋_GBK"/>
                <w:b w:val="0"/>
                <w:i w:val="0"/>
                <w:caps w:val="0"/>
                <w:spacing w:val="0"/>
                <w:w w:val="100"/>
                <w:sz w:val="28"/>
                <w:szCs w:val="28"/>
                <w:highlight w:val="none"/>
                <w:lang w:val="en-US" w:eastAsia="zh-CN"/>
              </w:rPr>
              <w:t>1个区域已</w:t>
            </w:r>
            <w:r>
              <w:rPr>
                <w:rFonts w:hint="eastAsia" w:ascii="方正仿宋_GBK" w:hAnsi="方正仿宋_GBK" w:eastAsia="方正仿宋_GBK" w:cs="方正仿宋_GBK"/>
                <w:b w:val="0"/>
                <w:i w:val="0"/>
                <w:caps w:val="0"/>
                <w:spacing w:val="0"/>
                <w:w w:val="100"/>
                <w:sz w:val="28"/>
                <w:szCs w:val="28"/>
                <w:highlight w:val="none"/>
              </w:rPr>
              <w:t>建设导流沟</w:t>
            </w:r>
            <w:r>
              <w:rPr>
                <w:rFonts w:hint="eastAsia" w:ascii="方正仿宋_GBK" w:hAnsi="方正仿宋_GBK" w:eastAsia="方正仿宋_GBK" w:cs="方正仿宋_GBK"/>
                <w:b w:val="0"/>
                <w:i w:val="0"/>
                <w:caps w:val="0"/>
                <w:spacing w:val="0"/>
                <w:w w:val="100"/>
                <w:sz w:val="28"/>
                <w:szCs w:val="28"/>
                <w:highlight w:val="none"/>
                <w:lang w:eastAsia="zh-CN"/>
              </w:rPr>
              <w:t>。</w:t>
            </w:r>
            <w:r>
              <w:rPr>
                <w:rFonts w:hint="eastAsia" w:ascii="方正仿宋_GBK" w:hAnsi="方正仿宋_GBK" w:eastAsia="方正仿宋_GBK" w:cs="方正仿宋_GBK"/>
                <w:b w:val="0"/>
                <w:i w:val="0"/>
                <w:caps w:val="0"/>
                <w:spacing w:val="0"/>
                <w:w w:val="100"/>
                <w:kern w:val="0"/>
                <w:sz w:val="28"/>
                <w:szCs w:val="28"/>
                <w:highlight w:val="none"/>
              </w:rPr>
              <w:t>导流沟的宽度</w:t>
            </w:r>
            <w:r>
              <w:rPr>
                <w:rFonts w:hint="eastAsia" w:ascii="方正仿宋_GBK" w:hAnsi="方正仿宋_GBK" w:eastAsia="方正仿宋_GBK" w:cs="方正仿宋_GBK"/>
                <w:b w:val="0"/>
                <w:i w:val="0"/>
                <w:caps w:val="0"/>
                <w:spacing w:val="0"/>
                <w:w w:val="100"/>
                <w:kern w:val="0"/>
                <w:sz w:val="28"/>
                <w:szCs w:val="28"/>
                <w:highlight w:val="none"/>
                <w:lang w:val="en-US" w:eastAsia="zh-CN"/>
              </w:rPr>
              <w:t>0.3m</w:t>
            </w:r>
            <w:r>
              <w:rPr>
                <w:rFonts w:hint="eastAsia" w:ascii="方正仿宋_GBK" w:hAnsi="方正仿宋_GBK" w:eastAsia="方正仿宋_GBK" w:cs="方正仿宋_GBK"/>
                <w:b w:val="0"/>
                <w:i w:val="0"/>
                <w:caps w:val="0"/>
                <w:spacing w:val="0"/>
                <w:w w:val="100"/>
                <w:kern w:val="0"/>
                <w:sz w:val="28"/>
                <w:szCs w:val="28"/>
                <w:highlight w:val="none"/>
              </w:rPr>
              <w:t>与深度均为0.</w:t>
            </w:r>
            <w:r>
              <w:rPr>
                <w:rFonts w:hint="eastAsia" w:ascii="方正仿宋_GBK" w:hAnsi="方正仿宋_GBK" w:eastAsia="方正仿宋_GBK" w:cs="方正仿宋_GBK"/>
                <w:b w:val="0"/>
                <w:i w:val="0"/>
                <w:caps w:val="0"/>
                <w:spacing w:val="0"/>
                <w:w w:val="100"/>
                <w:kern w:val="0"/>
                <w:sz w:val="28"/>
                <w:szCs w:val="28"/>
                <w:highlight w:val="none"/>
                <w:lang w:val="en-US" w:eastAsia="zh-CN"/>
              </w:rPr>
              <w:t>5</w:t>
            </w:r>
            <w:r>
              <w:rPr>
                <w:rFonts w:hint="eastAsia" w:ascii="方正仿宋_GBK" w:hAnsi="方正仿宋_GBK" w:eastAsia="方正仿宋_GBK" w:cs="方正仿宋_GBK"/>
                <w:b w:val="0"/>
                <w:i w:val="0"/>
                <w:caps w:val="0"/>
                <w:spacing w:val="0"/>
                <w:w w:val="100"/>
                <w:kern w:val="0"/>
                <w:sz w:val="28"/>
                <w:szCs w:val="28"/>
                <w:highlight w:val="none"/>
              </w:rPr>
              <w:t>m，</w:t>
            </w:r>
            <w:r>
              <w:rPr>
                <w:rFonts w:hint="default" w:ascii="方正仿宋_GBK" w:hAnsi="方正仿宋_GBK" w:eastAsia="方正仿宋_GBK" w:cs="方正仿宋_GBK"/>
                <w:b w:val="0"/>
                <w:i w:val="0"/>
                <w:caps w:val="0"/>
                <w:spacing w:val="0"/>
                <w:w w:val="100"/>
                <w:sz w:val="28"/>
                <w:szCs w:val="28"/>
                <w:highlight w:val="none"/>
                <w:lang w:eastAsia="zh-CN"/>
              </w:rPr>
              <w:t>沿渗滤液设定流动方向设置0.5%的坡度，上覆不锈钢地沟盖板，集液地沟和导流槽均与事故池连通</w:t>
            </w:r>
            <w:r>
              <w:rPr>
                <w:rFonts w:hint="eastAsia" w:ascii="方正仿宋_GBK" w:hAnsi="方正仿宋_GBK" w:eastAsia="方正仿宋_GBK" w:cs="方正仿宋_GBK"/>
                <w:b w:val="0"/>
                <w:i w:val="0"/>
                <w:caps w:val="0"/>
                <w:spacing w:val="0"/>
                <w:w w:val="100"/>
                <w:kern w:val="0"/>
                <w:sz w:val="28"/>
                <w:szCs w:val="28"/>
                <w:highlight w:val="none"/>
              </w:rPr>
              <w:t>，危废渗透液通过导流沟流入收集点。</w:t>
            </w:r>
            <w:r>
              <w:rPr>
                <w:rFonts w:hint="eastAsia" w:ascii="方正仿宋_GBK" w:hAnsi="方正仿宋_GBK" w:eastAsia="方正仿宋_GBK" w:cs="方正仿宋_GBK"/>
                <w:b w:val="0"/>
                <w:i w:val="0"/>
                <w:caps w:val="0"/>
                <w:spacing w:val="0"/>
                <w:w w:val="100"/>
                <w:sz w:val="28"/>
                <w:szCs w:val="28"/>
                <w:highlight w:val="none"/>
                <w:lang w:val="en-US" w:eastAsia="zh-CN"/>
              </w:rPr>
              <w:t>厂区西</w:t>
            </w:r>
            <w:r>
              <w:rPr>
                <w:rFonts w:hint="default" w:ascii="方正仿宋_GBK" w:hAnsi="方正仿宋_GBK" w:eastAsia="方正仿宋_GBK" w:cs="方正仿宋_GBK"/>
                <w:b w:val="0"/>
                <w:i w:val="0"/>
                <w:caps w:val="0"/>
                <w:spacing w:val="0"/>
                <w:w w:val="100"/>
                <w:sz w:val="28"/>
                <w:szCs w:val="28"/>
                <w:highlight w:val="none"/>
                <w:lang w:eastAsia="zh-CN"/>
              </w:rPr>
              <w:t>北角侧设置1座容积约</w:t>
            </w:r>
            <w:r>
              <w:rPr>
                <w:rFonts w:hint="eastAsia" w:ascii="方正仿宋_GBK" w:hAnsi="方正仿宋_GBK" w:eastAsia="方正仿宋_GBK" w:cs="方正仿宋_GBK"/>
                <w:b w:val="0"/>
                <w:i w:val="0"/>
                <w:caps w:val="0"/>
                <w:spacing w:val="0"/>
                <w:w w:val="100"/>
                <w:sz w:val="28"/>
                <w:szCs w:val="28"/>
                <w:highlight w:val="none"/>
                <w:lang w:val="en-US" w:eastAsia="zh-CN"/>
              </w:rPr>
              <w:t>700</w:t>
            </w:r>
            <w:r>
              <w:rPr>
                <w:rFonts w:hint="default" w:ascii="方正仿宋_GBK" w:hAnsi="方正仿宋_GBK" w:eastAsia="方正仿宋_GBK" w:cs="方正仿宋_GBK"/>
                <w:b w:val="0"/>
                <w:i w:val="0"/>
                <w:caps w:val="0"/>
                <w:spacing w:val="0"/>
                <w:w w:val="100"/>
                <w:sz w:val="28"/>
                <w:szCs w:val="28"/>
                <w:highlight w:val="none"/>
                <w:lang w:eastAsia="zh-CN"/>
              </w:rPr>
              <w:t>m3的地下事故池，与集液沟连通，收集事故状态下泄漏的液体危废和消防废水</w:t>
            </w:r>
            <w:r>
              <w:rPr>
                <w:rFonts w:hint="eastAsia" w:ascii="方正仿宋_GBK" w:hAnsi="方正仿宋_GBK" w:eastAsia="方正仿宋_GBK" w:cs="方正仿宋_GBK"/>
                <w:b w:val="0"/>
                <w:i w:val="0"/>
                <w:caps w:val="0"/>
                <w:spacing w:val="0"/>
                <w:w w:val="100"/>
                <w:sz w:val="28"/>
                <w:szCs w:val="28"/>
                <w:highlight w:val="none"/>
                <w:lang w:eastAsia="zh-CN"/>
              </w:rPr>
              <w:t>。</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地坪：由下至上防渗层做法为①0.2m厚钢筋C30，P8 混凝土层；②2mm厚600g/m2HDPE 膜；③土工布保护层；④0.12m厚混凝土层；⑤4mm厚环氧树脂防渗、耐腐蚀涂层（渗透系数≤10-10cm/s）。</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墙裙：高度1m，采用与地坪相同工法涂敷1.5mm 厚环氧树脂防渗、耐腐蚀涂层。</w:t>
            </w:r>
          </w:p>
          <w:p>
            <w:pPr>
              <w:pStyle w:val="3"/>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集液地沟、导流槽：由里至外做法为①抗渗等级P8 级的自防水钢筋混凝土结构；②涂5mm 厚聚合物防水砂浆；③15mm厚1:2.5 水泥砂浆保护层；④表面涂1.2mm厚水泥基渗透结晶型防水涂料（防渗系数≤10-10cm/s）。</w:t>
            </w:r>
          </w:p>
          <w:p>
            <w:pPr>
              <w:snapToGrid/>
              <w:spacing w:before="0" w:beforeAutospacing="0" w:after="0" w:afterAutospacing="0" w:line="500" w:lineRule="exact"/>
              <w:ind w:firstLine="560" w:firstLineChars="200"/>
              <w:jc w:val="left"/>
              <w:textAlignment w:val="baseline"/>
              <w:rPr>
                <w:rFonts w:hint="default" w:ascii="方正仿宋_GBK" w:hAnsi="方正仿宋_GBK" w:eastAsia="方正仿宋_GBK" w:cs="方正仿宋_GBK"/>
                <w:b w:val="0"/>
                <w:i w:val="0"/>
                <w:caps w:val="0"/>
                <w:spacing w:val="0"/>
                <w:w w:val="100"/>
                <w:kern w:val="2"/>
                <w:sz w:val="28"/>
                <w:szCs w:val="28"/>
                <w:highlight w:val="none"/>
                <w:lang w:val="en-US" w:eastAsia="zh-CN" w:bidi="ar-SA"/>
              </w:rPr>
            </w:pPr>
            <w:r>
              <w:rPr>
                <w:rFonts w:hint="default" w:ascii="方正仿宋_GBK" w:hAnsi="方正仿宋_GBK" w:eastAsia="方正仿宋_GBK" w:cs="方正仿宋_GBK"/>
                <w:b w:val="0"/>
                <w:i w:val="0"/>
                <w:caps w:val="0"/>
                <w:spacing w:val="0"/>
                <w:w w:val="100"/>
                <w:kern w:val="2"/>
                <w:sz w:val="28"/>
                <w:szCs w:val="28"/>
                <w:highlight w:val="none"/>
                <w:lang w:val="en-US" w:eastAsia="zh-CN" w:bidi="ar-SA"/>
              </w:rPr>
              <w:t>事故池：基础层为抗渗等级P8级混凝土卷材防水结构，池内壁表面涂1.2mm厚水泥基渗透结晶型防水涂料（防渗系数≤10-10cm/s）。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6" w:hRule="atLeast"/>
        </w:trPr>
        <w:tc>
          <w:tcPr>
            <w:tcW w:w="9270" w:type="dxa"/>
            <w:noWrap w:val="0"/>
            <w:vAlign w:val="top"/>
          </w:tcPr>
          <w:p>
            <w:pPr>
              <w:snapToGrid/>
              <w:spacing w:before="0" w:beforeAutospacing="0" w:after="0" w:afterAutospacing="0" w:line="500" w:lineRule="exact"/>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r>
              <w:rPr>
                <w:rFonts w:hint="eastAsia" w:ascii="Times New Roman" w:hAnsi="Times New Roman" w:eastAsia="宋体" w:cs="Times New Roman"/>
                <w:b/>
                <w:bCs/>
                <w:i w:val="0"/>
                <w:caps w:val="0"/>
                <w:spacing w:val="0"/>
                <w:w w:val="100"/>
                <w:sz w:val="30"/>
                <w:szCs w:val="30"/>
                <w:highlight w:val="none"/>
                <w:lang w:val="en-US" w:eastAsia="zh-CN"/>
              </w:rPr>
              <w:t>周边环境简述及地理位置图：</w:t>
            </w:r>
          </w:p>
          <w:p>
            <w:pPr>
              <w:pStyle w:val="3"/>
              <w:snapToGrid/>
              <w:spacing w:before="0" w:beforeAutospacing="0" w:after="0" w:afterAutospacing="0" w:line="360" w:lineRule="auto"/>
              <w:ind w:firstLine="560" w:firstLineChars="200"/>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t>本项目位于海安经济开发区城东镇石桥村6组（即海安经济开发区常安现代纺织科技园内费尔斯磁业西侧、金达纸业东侧、雄石路南侧）。</w:t>
            </w:r>
          </w:p>
          <w:p>
            <w:pPr>
              <w:pStyle w:val="4"/>
              <w:snapToGrid/>
              <w:spacing w:before="0" w:beforeAutospacing="0" w:after="0" w:afterAutospacing="0" w:line="240" w:lineRule="auto"/>
              <w:jc w:val="both"/>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p>
          <w:p>
            <w:pPr>
              <w:snapToGrid/>
              <w:spacing w:before="0" w:beforeAutospacing="0" w:after="0" w:afterAutospacing="0" w:line="360" w:lineRule="auto"/>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drawing>
                <wp:inline distT="0" distB="0" distL="114300" distR="114300">
                  <wp:extent cx="5741670" cy="3812540"/>
                  <wp:effectExtent l="0" t="0" r="11430" b="16510"/>
                  <wp:docPr id="1" name="图片 1" descr="周边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周边分布图"/>
                          <pic:cNvPicPr>
                            <a:picLocks noChangeAspect="1"/>
                          </pic:cNvPicPr>
                        </pic:nvPicPr>
                        <pic:blipFill>
                          <a:blip r:embed="rId5"/>
                          <a:stretch>
                            <a:fillRect/>
                          </a:stretch>
                        </pic:blipFill>
                        <pic:spPr>
                          <a:xfrm>
                            <a:off x="0" y="0"/>
                            <a:ext cx="5741670" cy="3812540"/>
                          </a:xfrm>
                          <a:prstGeom prst="rect">
                            <a:avLst/>
                          </a:prstGeom>
                        </pic:spPr>
                      </pic:pic>
                    </a:graphicData>
                  </a:graphic>
                </wp:inline>
              </w:drawing>
            </w: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p>
          <w:p>
            <w:pPr>
              <w:snapToGrid/>
              <w:spacing w:before="0" w:beforeAutospacing="0" w:after="0" w:afterAutospacing="0" w:line="500" w:lineRule="exact"/>
              <w:jc w:val="left"/>
              <w:textAlignment w:val="baseline"/>
              <w:rPr>
                <w:rFonts w:hint="eastAsia" w:ascii="Times New Roman" w:hAnsi="Times New Roman" w:eastAsia="宋体" w:cs="Times New Roman"/>
                <w:b/>
                <w:bCs/>
                <w:i w:val="0"/>
                <w:caps w:val="0"/>
                <w:spacing w:val="0"/>
                <w:w w:val="100"/>
                <w:sz w:val="30"/>
                <w:szCs w:val="30"/>
                <w:highlight w:val="none"/>
                <w:lang w:val="en-US" w:eastAsia="zh-CN"/>
              </w:rPr>
            </w:pPr>
            <w:r>
              <w:rPr>
                <w:rFonts w:hint="eastAsia" w:ascii="Times New Roman" w:hAnsi="Times New Roman" w:eastAsia="宋体" w:cs="Times New Roman"/>
                <w:b/>
                <w:bCs/>
                <w:i w:val="0"/>
                <w:caps w:val="0"/>
                <w:spacing w:val="0"/>
                <w:w w:val="100"/>
                <w:sz w:val="30"/>
                <w:szCs w:val="30"/>
                <w:highlight w:val="none"/>
                <w:lang w:val="en-US" w:eastAsia="zh-CN"/>
              </w:rPr>
              <w:t>厂区平面图：</w:t>
            </w:r>
          </w:p>
          <w:p>
            <w:pPr>
              <w:snapToGrid/>
              <w:spacing w:before="0" w:beforeAutospacing="0" w:after="0" w:afterAutospacing="0" w:line="360" w:lineRule="auto"/>
              <w:jc w:val="left"/>
              <w:textAlignment w:val="baseline"/>
              <w:rPr>
                <w:rFonts w:hint="eastAsia" w:ascii="方正仿宋_GBK" w:hAnsi="方正仿宋_GBK" w:eastAsia="方正仿宋_GBK" w:cs="方正仿宋_GBK"/>
                <w:b w:val="0"/>
                <w:i w:val="0"/>
                <w:caps w:val="0"/>
                <w:spacing w:val="0"/>
                <w:w w:val="100"/>
                <w:kern w:val="2"/>
                <w:sz w:val="28"/>
                <w:szCs w:val="28"/>
                <w:highlight w:val="none"/>
                <w:lang w:val="en-US" w:eastAsia="zh-CN" w:bidi="ar-SA"/>
              </w:rPr>
            </w:pPr>
            <w:r>
              <w:rPr>
                <w:rFonts w:hint="eastAsia" w:ascii="方正仿宋_GBK" w:hAnsi="方正仿宋_GBK" w:eastAsia="方正仿宋_GBK" w:cs="方正仿宋_GBK"/>
                <w:b w:val="0"/>
                <w:i w:val="0"/>
                <w:caps w:val="0"/>
                <w:spacing w:val="0"/>
                <w:w w:val="100"/>
                <w:kern w:val="2"/>
                <w:sz w:val="28"/>
                <w:szCs w:val="28"/>
                <w:highlight w:val="none"/>
                <w:lang w:val="en-US" w:eastAsia="zh-CN" w:bidi="ar-SA"/>
              </w:rPr>
              <w:drawing>
                <wp:inline distT="0" distB="0" distL="114300" distR="114300">
                  <wp:extent cx="5745480" cy="5023485"/>
                  <wp:effectExtent l="0" t="0" r="7620" b="5715"/>
                  <wp:docPr id="2" name="图片 2" descr="厂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厂区平面布置图"/>
                          <pic:cNvPicPr>
                            <a:picLocks noChangeAspect="1"/>
                          </pic:cNvPicPr>
                        </pic:nvPicPr>
                        <pic:blipFill>
                          <a:blip r:embed="rId6"/>
                          <a:stretch>
                            <a:fillRect/>
                          </a:stretch>
                        </pic:blipFill>
                        <pic:spPr>
                          <a:xfrm>
                            <a:off x="0" y="0"/>
                            <a:ext cx="5745480" cy="5023485"/>
                          </a:xfrm>
                          <a:prstGeom prst="rect">
                            <a:avLst/>
                          </a:prstGeom>
                        </pic:spPr>
                      </pic:pic>
                    </a:graphicData>
                  </a:graphic>
                </wp:inline>
              </w:drawing>
            </w:r>
          </w:p>
        </w:tc>
      </w:tr>
    </w:tbl>
    <w:p>
      <w:pPr>
        <w:snapToGrid/>
        <w:spacing w:before="0" w:beforeAutospacing="0" w:after="0" w:afterAutospacing="0" w:line="240" w:lineRule="auto"/>
        <w:jc w:val="both"/>
        <w:textAlignment w:val="baseline"/>
        <w:rPr>
          <w:b w:val="0"/>
          <w:i w:val="0"/>
          <w:caps w:val="0"/>
          <w:spacing w:val="0"/>
          <w:w w:val="100"/>
          <w:sz w:val="20"/>
          <w:highlight w:val="yellow"/>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79A0909D-A1A9-4AAF-BBCA-23A9665DA640}"/>
  </w:font>
  <w:font w:name="仿宋_GB2312">
    <w:altName w:val="仿宋"/>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方正小标宋_GBK">
    <w:altName w:val="宋体"/>
    <w:panose1 w:val="03000509000000000000"/>
    <w:charset w:val="86"/>
    <w:family w:val="script"/>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embedRegular r:id="rId2" w:fontKey="{E68AF37E-9531-446D-B334-12D2F7DECF46}"/>
  </w:font>
  <w:font w:name="方正仿宋_GBK">
    <w:panose1 w:val="02000000000000000000"/>
    <w:charset w:val="86"/>
    <w:family w:val="auto"/>
    <w:pitch w:val="default"/>
    <w:sig w:usb0="A00002BF" w:usb1="38CF7CFA" w:usb2="00082016" w:usb3="00000000" w:csb0="00040001" w:csb1="00000000"/>
    <w:embedRegular r:id="rId3" w:fontKey="{38230406-8025-402C-93E1-4366F8370547}"/>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BB46C5"/>
    <w:multiLevelType w:val="singleLevel"/>
    <w:tmpl w:val="4EBB46C5"/>
    <w:lvl w:ilvl="0" w:tentative="0">
      <w:start w:val="3"/>
      <w:numFmt w:val="decimal"/>
      <w:suff w:val="nothing"/>
      <w:lvlText w:val="%1、"/>
      <w:lvlJc w:val="left"/>
    </w:lvl>
  </w:abstractNum>
  <w:abstractNum w:abstractNumId="1">
    <w:nsid w:val="7B1E7DFA"/>
    <w:multiLevelType w:val="multilevel"/>
    <w:tmpl w:val="7B1E7DFA"/>
    <w:lvl w:ilvl="0" w:tentative="0">
      <w:start w:val="1"/>
      <w:numFmt w:val="none"/>
      <w:lvlText w:val=""/>
      <w:lvlJc w:val="left"/>
      <w:pPr>
        <w:tabs>
          <w:tab w:val="left" w:pos="4067"/>
        </w:tabs>
        <w:ind w:left="4067" w:hanging="567"/>
      </w:pPr>
      <w:rPr>
        <w:rFonts w:hint="default" w:ascii="Cambria Math" w:hAnsi="Cambria Math"/>
        <w:b/>
        <w:i w:val="0"/>
        <w:sz w:val="24"/>
        <w:lang w:val="en-GB"/>
      </w:rPr>
    </w:lvl>
    <w:lvl w:ilvl="1" w:tentative="0">
      <w:start w:val="1"/>
      <w:numFmt w:val="decimal"/>
      <w:lvlText w:val="%2"/>
      <w:lvlJc w:val="left"/>
      <w:pPr>
        <w:tabs>
          <w:tab w:val="left" w:pos="567"/>
        </w:tabs>
        <w:ind w:left="567" w:hanging="567"/>
      </w:pPr>
      <w:rPr>
        <w:rFonts w:hint="default" w:ascii="方正小标宋_GBK" w:hAnsi="方正小标宋_GBK" w:eastAsia="仿宋_GB2312"/>
        <w:b/>
        <w:i w:val="0"/>
        <w:sz w:val="28"/>
        <w:szCs w:val="28"/>
        <w:lang w:val="en-US"/>
      </w:rPr>
    </w:lvl>
    <w:lvl w:ilvl="2" w:tentative="0">
      <w:start w:val="1"/>
      <w:numFmt w:val="decimal"/>
      <w:pStyle w:val="2"/>
      <w:lvlText w:val="%2.%3"/>
      <w:lvlJc w:val="left"/>
      <w:pPr>
        <w:tabs>
          <w:tab w:val="left" w:pos="720"/>
        </w:tabs>
        <w:ind w:left="720" w:hanging="720"/>
      </w:pPr>
      <w:rPr>
        <w:rFonts w:hint="default" w:ascii="方正小标宋_GBK" w:hAnsi="方正小标宋_GBK" w:eastAsia="仿宋_GB2312"/>
        <w:b/>
        <w:i w:val="0"/>
        <w:sz w:val="28"/>
        <w:szCs w:val="28"/>
        <w:lang w:val="en-GB"/>
      </w:rPr>
    </w:lvl>
    <w:lvl w:ilvl="3" w:tentative="0">
      <w:start w:val="1"/>
      <w:numFmt w:val="decimal"/>
      <w:lvlText w:val="%2.%3.%4"/>
      <w:lvlJc w:val="left"/>
      <w:pPr>
        <w:tabs>
          <w:tab w:val="left" w:pos="1564"/>
        </w:tabs>
        <w:ind w:left="1564" w:hanging="864"/>
      </w:pPr>
      <w:rPr>
        <w:rFonts w:hint="eastAsia" w:ascii="仿宋_GB2312" w:hAnsi="仿宋_GB2312" w:eastAsia="仿宋_GB2312"/>
        <w:b/>
        <w:i w:val="0"/>
        <w:sz w:val="24"/>
        <w:szCs w:val="24"/>
      </w:rPr>
    </w:lvl>
    <w:lvl w:ilvl="4" w:tentative="0">
      <w:start w:val="1"/>
      <w:numFmt w:val="decimal"/>
      <w:lvlText w:val="%1%2.%3.%4.%5"/>
      <w:lvlJc w:val="left"/>
      <w:pPr>
        <w:tabs>
          <w:tab w:val="left" w:pos="1008"/>
        </w:tabs>
        <w:ind w:left="1008" w:hanging="1008"/>
      </w:pPr>
      <w:rPr>
        <w:rFonts w:hint="eastAsia" w:ascii="仿宋_GB2312" w:hAnsi="黑体" w:eastAsia="仿宋_GB2312"/>
        <w:b/>
        <w:i/>
        <w:sz w:val="22"/>
        <w:szCs w:val="22"/>
      </w:rPr>
    </w:lvl>
    <w:lvl w:ilvl="5" w:tentative="0">
      <w:start w:val="1"/>
      <w:numFmt w:val="decimal"/>
      <w:lvlText w:val="%1%2.%3.%4.%5.%6"/>
      <w:lvlJc w:val="left"/>
      <w:pPr>
        <w:tabs>
          <w:tab w:val="left" w:pos="1152"/>
        </w:tabs>
        <w:ind w:left="1152" w:hanging="1152"/>
      </w:pPr>
      <w:rPr>
        <w:rFonts w:hint="eastAsia" w:ascii="仿宋_GB2312" w:eastAsia="仿宋_GB2312"/>
        <w:b w:val="0"/>
        <w:i/>
        <w:sz w:val="24"/>
        <w:szCs w:val="24"/>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1ZmQ4YTRmZjhmYTQ0MzRjYTEyN2Y2MGMxMmM0ZDgifQ=="/>
  </w:docVars>
  <w:rsids>
    <w:rsidRoot w:val="7DD9207B"/>
    <w:rsid w:val="03581934"/>
    <w:rsid w:val="066D04B6"/>
    <w:rsid w:val="07A74C46"/>
    <w:rsid w:val="0BE52FD0"/>
    <w:rsid w:val="0FED0B74"/>
    <w:rsid w:val="121A7E58"/>
    <w:rsid w:val="15CE1C63"/>
    <w:rsid w:val="17A66D1D"/>
    <w:rsid w:val="1967331B"/>
    <w:rsid w:val="1B8332B8"/>
    <w:rsid w:val="1D932FD0"/>
    <w:rsid w:val="1F5F7E89"/>
    <w:rsid w:val="1F6D0053"/>
    <w:rsid w:val="1FAC6B77"/>
    <w:rsid w:val="21186119"/>
    <w:rsid w:val="21EF4D9E"/>
    <w:rsid w:val="238021ED"/>
    <w:rsid w:val="240679DA"/>
    <w:rsid w:val="29BA2B76"/>
    <w:rsid w:val="2B163CF6"/>
    <w:rsid w:val="2D0A4CCD"/>
    <w:rsid w:val="2FE55B5B"/>
    <w:rsid w:val="349D0EB6"/>
    <w:rsid w:val="39F17771"/>
    <w:rsid w:val="3B0528FF"/>
    <w:rsid w:val="4455473C"/>
    <w:rsid w:val="448D4A83"/>
    <w:rsid w:val="4B337A29"/>
    <w:rsid w:val="4DD159CA"/>
    <w:rsid w:val="4E7317CF"/>
    <w:rsid w:val="50F833E6"/>
    <w:rsid w:val="565924C3"/>
    <w:rsid w:val="5AB87F28"/>
    <w:rsid w:val="5EFC19EF"/>
    <w:rsid w:val="5F3407E7"/>
    <w:rsid w:val="62081894"/>
    <w:rsid w:val="62920C4D"/>
    <w:rsid w:val="63CD6B3D"/>
    <w:rsid w:val="64C02949"/>
    <w:rsid w:val="64D32DEA"/>
    <w:rsid w:val="65125857"/>
    <w:rsid w:val="6B892EC5"/>
    <w:rsid w:val="6E0556E3"/>
    <w:rsid w:val="6F285EB7"/>
    <w:rsid w:val="77E57BE0"/>
    <w:rsid w:val="7DD9207B"/>
    <w:rsid w:val="7FB06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_GB2312" w:cs="Times New Roman"/>
      <w:kern w:val="2"/>
      <w:sz w:val="21"/>
      <w:szCs w:val="22"/>
      <w:lang w:val="en-US" w:eastAsia="zh-CN" w:bidi="ar-SA"/>
    </w:rPr>
  </w:style>
  <w:style w:type="paragraph" w:styleId="2">
    <w:name w:val="heading 3"/>
    <w:basedOn w:val="1"/>
    <w:next w:val="1"/>
    <w:autoRedefine/>
    <w:qFormat/>
    <w:uiPriority w:val="0"/>
    <w:pPr>
      <w:keepNext/>
      <w:widowControl/>
      <w:numPr>
        <w:ilvl w:val="2"/>
        <w:numId w:val="1"/>
      </w:numPr>
      <w:overflowPunct w:val="0"/>
      <w:autoSpaceDE w:val="0"/>
      <w:autoSpaceDN w:val="0"/>
      <w:adjustRightInd w:val="0"/>
      <w:spacing w:before="120"/>
      <w:jc w:val="left"/>
      <w:textAlignment w:val="baseline"/>
      <w:outlineLvl w:val="2"/>
    </w:pPr>
    <w:rPr>
      <w:rFonts w:ascii="Cambria Math" w:hAnsi="Cambria Math" w:eastAsia="@方正小标宋_GBK"/>
      <w:b/>
      <w:kern w:val="0"/>
      <w:sz w:val="28"/>
      <w:lang w:val="en-GB"/>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3">
    <w:name w:val="Normal Indent"/>
    <w:basedOn w:val="1"/>
    <w:autoRedefine/>
    <w:qFormat/>
    <w:uiPriority w:val="0"/>
    <w:pPr>
      <w:spacing w:line="360" w:lineRule="auto"/>
      <w:ind w:firstLine="480" w:firstLineChars="200"/>
      <w:jc w:val="left"/>
    </w:pPr>
  </w:style>
  <w:style w:type="paragraph" w:styleId="4">
    <w:name w:val="Plain Text"/>
    <w:basedOn w:val="1"/>
    <w:autoRedefine/>
    <w:qFormat/>
    <w:uiPriority w:val="0"/>
    <w:pPr>
      <w:spacing w:line="240" w:lineRule="auto"/>
    </w:pPr>
    <w:rPr>
      <w:rFonts w:hint="eastAsia" w:ascii="宋体" w:hAnsi="Courier New"/>
      <w:sz w:val="21"/>
      <w:szCs w:val="21"/>
    </w:rPr>
  </w:style>
  <w:style w:type="paragraph" w:customStyle="1" w:styleId="7">
    <w:name w:val="*正文"/>
    <w:autoRedefine/>
    <w:qFormat/>
    <w:uiPriority w:val="0"/>
    <w:pPr>
      <w:spacing w:line="500" w:lineRule="exact"/>
      <w:ind w:firstLine="200" w:firstLineChars="200"/>
      <w:jc w:val="both"/>
    </w:pPr>
    <w:rPr>
      <w:rFonts w:ascii="黑体" w:hAnsi="黑体" w:eastAsia="宋体" w:cs="Times New Roman"/>
      <w:color w:val="000000"/>
      <w:sz w:val="28"/>
      <w:lang w:val="en-US" w:eastAsia="zh-CN" w:bidi="ar-SA"/>
    </w:rPr>
  </w:style>
  <w:style w:type="paragraph" w:styleId="8">
    <w:name w:val="List Paragraph"/>
    <w:basedOn w:val="1"/>
    <w:autoRedefine/>
    <w:qFormat/>
    <w:uiPriority w:val="0"/>
    <w:pPr>
      <w:ind w:firstLine="420" w:firstLineChars="200"/>
    </w:pPr>
    <w:rPr>
      <w:rFonts w:ascii="方正小标宋_GBK" w:hAnsi="方正小标宋_GBK"/>
      <w:szCs w:val="22"/>
    </w:rPr>
  </w:style>
  <w:style w:type="paragraph" w:customStyle="1" w:styleId="9">
    <w:name w:val="样式5"/>
    <w:basedOn w:val="2"/>
    <w:autoRedefine/>
    <w:qFormat/>
    <w:uiPriority w:val="0"/>
    <w:pPr>
      <w:tabs>
        <w:tab w:val="clear" w:pos="720"/>
      </w:tabs>
      <w:ind w:left="890" w:hanging="170"/>
    </w:pPr>
    <w:rPr>
      <w:lang w:val="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5434</Words>
  <Characters>6053</Characters>
  <Lines>0</Lines>
  <Paragraphs>0</Paragraphs>
  <TotalTime>0</TotalTime>
  <ScaleCrop>false</ScaleCrop>
  <LinksUpToDate>false</LinksUpToDate>
  <CharactersWithSpaces>6079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2021-05-06T05:03:00Z</dcterms:created>
  <dc:creator>蔚蓝</dc:creator>
  <cp:lastModifiedBy>排骨和西瓜</cp:lastModifiedBy>
  <dcterms:modified xsi:type="dcterms:W3CDTF">2024-05-21T07:24:29Z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54F13F11798143D0B2BEB89B93A3FDA4_13</vt:lpwstr>
  </property>
  <property fmtid="{D5CDD505-2E9C-101B-9397-08002B2CF9AE}" pid="4" name="KSOSaveFontToCloudKey">
    <vt:lpwstr>743669881_cloud</vt:lpwstr>
  </property>
</Properties>
</file>