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outlineLvl w:val="0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项目需求说明</w:t>
      </w:r>
    </w:p>
    <w:p>
      <w:pPr>
        <w:pStyle w:val="5"/>
        <w:snapToGrid w:val="0"/>
        <w:spacing w:before="240" w:line="460" w:lineRule="exact"/>
        <w:ind w:firstLine="562" w:firstLineChars="200"/>
        <w:contextualSpacing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b/>
          <w:sz w:val="28"/>
          <w:lang w:val="zh-CN"/>
        </w:rPr>
        <w:t>请</w:t>
      </w:r>
      <w:r>
        <w:rPr>
          <w:rFonts w:hint="eastAsia" w:ascii="宋体" w:hAnsi="宋体" w:eastAsia="宋体" w:cs="宋体"/>
          <w:b/>
          <w:sz w:val="28"/>
        </w:rPr>
        <w:t>参</w:t>
      </w:r>
      <w:r>
        <w:rPr>
          <w:rFonts w:hint="eastAsia" w:ascii="宋体" w:hAnsi="宋体" w:eastAsia="宋体" w:cs="宋体"/>
          <w:b/>
          <w:sz w:val="28"/>
          <w:lang w:val="zh-CN"/>
        </w:rPr>
        <w:t>选人在制作</w:t>
      </w:r>
      <w:r>
        <w:rPr>
          <w:rFonts w:hint="eastAsia" w:ascii="宋体" w:hAnsi="宋体" w:eastAsia="宋体" w:cs="宋体"/>
          <w:b/>
          <w:sz w:val="28"/>
        </w:rPr>
        <w:t>参</w:t>
      </w:r>
      <w:r>
        <w:rPr>
          <w:rFonts w:hint="eastAsia" w:ascii="宋体" w:hAnsi="宋体" w:eastAsia="宋体" w:cs="宋体"/>
          <w:b/>
          <w:sz w:val="28"/>
          <w:lang w:val="zh-CN"/>
        </w:rPr>
        <w:t>选文件时仔细研究项目需求说明。</w:t>
      </w:r>
      <w:r>
        <w:rPr>
          <w:rFonts w:hint="eastAsia" w:ascii="宋体" w:hAnsi="宋体" w:eastAsia="宋体" w:cs="宋体"/>
          <w:sz w:val="28"/>
        </w:rPr>
        <w:t>参</w:t>
      </w:r>
      <w:r>
        <w:rPr>
          <w:rFonts w:hint="eastAsia" w:ascii="宋体" w:hAnsi="宋体" w:eastAsia="宋体" w:cs="宋体"/>
          <w:sz w:val="28"/>
          <w:lang w:val="zh-CN"/>
        </w:rPr>
        <w:t>选人不能简单照搬照抄采购单位项目需求说明中的技术、商务要求，必须作实事求是的响应。如照搬照抄项目需求说明中的技术、商务要求的，中标后供应商在同采购单位签订合同和履约环节中不得提出异议，一切后果和损失由中标供应商承担。</w:t>
      </w:r>
    </w:p>
    <w:p>
      <w:pPr>
        <w:spacing w:line="46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具体需求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  <w:t>本次活动配电系统部分总体须满足国家、省监测大比武相关要求，具体需求如下：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  <w:t>1.A区水中硫化物测定34组实验台每组配置4套220V10A插座，每组共计4kW，配1套落地式动力配电箱分35个单独回路（其中预留1回路备用），排风系统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变频</w:t>
      </w:r>
      <w:r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  <w:t>控制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系统</w:t>
      </w:r>
      <w:r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  <w:t>一套，总功率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200</w:t>
      </w:r>
      <w:r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  <w:t>kW，配电箱主电缆不包含在此需求内，主电缆由场地提供单位提供。每一套实验台单独布置3*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  <w:t>平方电缆由桥架布设到指定位置后分接到插座。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  <w:t>2.B区水中钍测定34组实验台，每组配置4套220V10A插座，每组共计4kW，配1套落地式动力配电箱分35个单独回路（其中预留1回路备用），排风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变频</w:t>
      </w:r>
      <w:r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  <w:t>控制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系统</w:t>
      </w:r>
      <w:r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  <w:t>一套，总功率2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00</w:t>
      </w:r>
      <w:r>
        <w:rPr>
          <w:rFonts w:hint="eastAsia" w:ascii="宋体" w:hAnsi="宋体" w:eastAsia="宋体" w:cs="宋体"/>
          <w:kern w:val="0"/>
          <w:sz w:val="28"/>
          <w:szCs w:val="28"/>
          <w:lang w:val="zh-CN" w:eastAsia="zh-CN" w:bidi="ar-SA"/>
        </w:rPr>
        <w:t>kW，配电箱主电缆不包含在此需求内，主电缆由场地提供单位提供。4kW实验台单独布置3*4平方电缆由桥架布设到指定位置后分接到插座。</w:t>
      </w:r>
    </w:p>
    <w:p>
      <w:pPr>
        <w:spacing w:line="460" w:lineRule="exact"/>
        <w:ind w:left="56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3. 严格按招标单位要求，将电缆等搬运、安装至指定位置。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4. 落实1名项目负责人，现场全过程负责配电系统安装及与其他工程沟通、联系工作。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5. 现场施工人员须具有类似安装经历，具备相应电工资格证书（高压、低压相关证书）。</w:t>
      </w:r>
    </w:p>
    <w:p>
      <w:pPr>
        <w:spacing w:line="46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现场配电系统部署清单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8"/>
          <w:lang w:bidi="ar"/>
        </w:rPr>
        <w:t>（</w:t>
      </w:r>
      <w:bookmarkStart w:id="0" w:name="_Hlk167042890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8"/>
          <w:lang w:bidi="ar"/>
        </w:rPr>
        <w:t>包括但不限于以下内容</w:t>
      </w:r>
      <w:bookmarkEnd w:id="0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8"/>
          <w:lang w:bidi="ar"/>
        </w:rPr>
        <w:t>）</w:t>
      </w:r>
    </w:p>
    <w:tbl>
      <w:tblPr>
        <w:tblStyle w:val="3"/>
        <w:tblW w:w="992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172"/>
        <w:gridCol w:w="2038"/>
        <w:gridCol w:w="1027"/>
        <w:gridCol w:w="735"/>
        <w:gridCol w:w="3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落地式动力配电箱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700*370*2400；总功率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KW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钢制配电箱，35回路，品牌漏电保护器，接线端子等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变频控制系统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15KW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国内知名品牌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3*4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2800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国标电缆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3*2.5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国标电缆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钢制插座盒及插座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0*80*80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国标五孔，每套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只，每台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桥架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300*100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钢制材质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穿线管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波纹管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辅材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电缆布线，插座接线安装费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配电现场测试费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运费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9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</w:rPr>
              <w:t>1.投标人可进行现场实地踏勘，根据项目的情况，形成详细的建设方案。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</w:rPr>
              <w:t>2.投标单位所使用的相关材料、品牌，须经过省中心、招标人同意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</w:rPr>
              <w:t>3.本项目为“交钥匙”工程，安装所使用的辅材、安装件、调试以及运输等费用，均应包含在报价中，招标人不接受任何工程增项。</w:t>
            </w:r>
          </w:p>
        </w:tc>
      </w:tr>
    </w:tbl>
    <w:p>
      <w:pPr>
        <w:spacing w:line="46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、商务要求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zh-CN"/>
        </w:rPr>
        <w:t>1.签定合同日期：自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Hans"/>
        </w:rPr>
        <w:t>本项目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zh-CN"/>
        </w:rPr>
        <w:t>成交通知书发出之日起15日内签约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合同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zh-CN"/>
        </w:rPr>
        <w:t>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zh-CN"/>
        </w:rPr>
        <w:t>2.供货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  <w:t>期限：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合同签订后2日内，确认后15日历天内交付并验收合格，送至采购人指定地点。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  <w:t>3.供货地点：采购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eastAsia="zh-Hans"/>
        </w:rPr>
        <w:t>单位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  <w:t>指定地点。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  <w:lang w:val="zh-CN"/>
        </w:rPr>
        <w:t>4.付款方式：</w:t>
      </w: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通过省级监测比武验证并经</w:t>
      </w:r>
      <w:bookmarkStart w:id="1" w:name="_Hlk167045675"/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省监测中心、招标单位验收</w:t>
      </w:r>
      <w:bookmarkEnd w:id="1"/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合格后一次性支付合同金额，款项由采购单位按相关财务支付规定办理支付手续。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5.项目验收要求：电缆、插座、座盒等符合国家相关产品质量标准，同时满足国家、省级监测大比武要求。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6.项目售后服务：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1）项目整体质保期为一年，保修期内出现的问题（人为问题除外）由成交供应商免费维修；在国家、省监测大比武期间须提供至少1名保障人员，负责现场保障工作。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highlight w:val="none"/>
        </w:rPr>
        <w:t>2）成交供应商应以优良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的服务态度，提供2小时以内响应，8小时以内完成采购人提出的服务要求；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3）成交供应商必须明确作出服务承诺，详细阐述维护内容及服务方式和范围；</w:t>
      </w:r>
    </w:p>
    <w:p>
      <w:pPr>
        <w:tabs>
          <w:tab w:val="left" w:pos="5325"/>
        </w:tabs>
        <w:autoSpaceDE w:val="0"/>
        <w:autoSpaceDN w:val="0"/>
        <w:spacing w:line="520" w:lineRule="exact"/>
        <w:ind w:firstLine="562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zh-CN"/>
        </w:rPr>
        <w:t>、投标保证金：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 w:bidi="ar"/>
        </w:rPr>
        <w:t>本次项目不收取投标保证金。</w:t>
      </w:r>
    </w:p>
    <w:p>
      <w:pPr>
        <w:tabs>
          <w:tab w:val="left" w:pos="5325"/>
        </w:tabs>
        <w:autoSpaceDE w:val="0"/>
        <w:autoSpaceDN w:val="0"/>
        <w:spacing w:line="520" w:lineRule="exact"/>
        <w:ind w:firstLine="562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、履约保证金：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本项目不涉及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 w:bidi="ar"/>
        </w:rPr>
        <w:t>。</w:t>
      </w:r>
    </w:p>
    <w:p>
      <w:pPr>
        <w:spacing w:line="52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开标、评标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时间：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</w:rPr>
        <w:t xml:space="preserve">2024年 5月 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</w:rPr>
        <w:t xml:space="preserve"> 日 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</w:rPr>
        <w:t xml:space="preserve">点 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</w:rPr>
        <w:t>0分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>；</w:t>
      </w:r>
    </w:p>
    <w:p>
      <w:pPr>
        <w:snapToGrid w:val="0"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地点：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  <w:lang w:val="en-US" w:eastAsia="zh-CN"/>
        </w:rPr>
        <w:t>新东方不见面开标群3（群号：274452838）</w:t>
      </w:r>
    </w:p>
    <w:p>
      <w:pPr>
        <w:snapToGrid w:val="0"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评标流程:评标委员会将根据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比选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文件相关标准对供应商的资格进行审查，审查通过方可参与项目的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技术、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价格评标。符合要求的前提下，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综合评分排名第一的参选人为本项目的第一成交候选人，若综合评分相同，则通过抽签的方式抽取第一成交候选人。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MTk0NDllYWQwOTYyMTMxMWRiNjI1MTRjOGFjNDgifQ=="/>
  </w:docVars>
  <w:rsids>
    <w:rsidRoot w:val="00000000"/>
    <w:rsid w:val="0C3E5F85"/>
    <w:rsid w:val="624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仿宋_GB2312" w:eastAsia="仿宋_GB2312"/>
      <w:kern w:val="0"/>
      <w:sz w:val="24"/>
      <w:szCs w:val="20"/>
    </w:rPr>
  </w:style>
  <w:style w:type="paragraph" w:customStyle="1" w:styleId="5">
    <w:name w:val="正文缩进2格"/>
    <w:basedOn w:val="1"/>
    <w:qFormat/>
    <w:uiPriority w:val="0"/>
    <w:pPr>
      <w:spacing w:line="600" w:lineRule="exact"/>
      <w:ind w:firstLine="206" w:firstLineChars="206"/>
    </w:pPr>
    <w:rPr>
      <w:rFonts w:ascii="仿宋_GB2312" w:eastAsia="仿宋_GB2312"/>
      <w:kern w:val="0"/>
      <w:sz w:val="3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1457</Words>
  <Characters>1599</Characters>
  <Lines>0</Lines>
  <Paragraphs>0</Paragraphs>
  <TotalTime>0</TotalTime>
  <ScaleCrop>false</ScaleCrop>
  <LinksUpToDate>false</LinksUpToDate>
  <CharactersWithSpaces>1607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2024-05-23T01:46:00Z</dcterms:created>
  <dc:creator>acer</dc:creator>
  <cp:lastModifiedBy>Apple</cp:lastModifiedBy>
  <dcterms:modified xsi:type="dcterms:W3CDTF">2024-05-23T02:07:26Z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4B8E32C9B9B54DAAAB76CD01644D8A34_12</vt:lpwstr>
  </property>
</Properties>
</file>