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B8" w:rsidRPr="00DB63AC" w:rsidRDefault="000E3DB8" w:rsidP="00E17143">
      <w:pPr>
        <w:spacing w:beforeLines="50" w:before="156" w:afterLines="50" w:after="156" w:line="240" w:lineRule="exact"/>
        <w:ind w:firstLine="422"/>
        <w:jc w:val="center"/>
        <w:rPr>
          <w:rFonts w:ascii="黑体" w:eastAsia="黑体" w:hAnsi="黑体"/>
          <w:bCs/>
          <w:sz w:val="24"/>
        </w:rPr>
      </w:pPr>
      <w:bookmarkStart w:id="0" w:name="_GoBack"/>
      <w:r>
        <w:rPr>
          <w:rFonts w:ascii="黑体" w:eastAsia="黑体" w:hAnsi="黑体" w:hint="eastAsia"/>
          <w:bCs/>
          <w:sz w:val="24"/>
        </w:rPr>
        <w:t>现行</w:t>
      </w:r>
      <w:r w:rsidRPr="00DB63AC">
        <w:rPr>
          <w:rFonts w:ascii="黑体" w:eastAsia="黑体" w:hAnsi="黑体" w:hint="eastAsia"/>
          <w:bCs/>
          <w:sz w:val="24"/>
        </w:rPr>
        <w:t>声规划</w:t>
      </w:r>
      <w:r>
        <w:rPr>
          <w:rFonts w:ascii="黑体" w:eastAsia="黑体" w:hAnsi="黑体" w:hint="eastAsia"/>
          <w:bCs/>
          <w:sz w:val="24"/>
        </w:rPr>
        <w:t>与调整</w:t>
      </w:r>
      <w:r w:rsidR="00692BAA">
        <w:rPr>
          <w:rFonts w:ascii="黑体" w:eastAsia="黑体" w:hAnsi="黑体" w:hint="eastAsia"/>
          <w:bCs/>
          <w:sz w:val="24"/>
        </w:rPr>
        <w:t>后</w:t>
      </w:r>
      <w:r>
        <w:rPr>
          <w:rFonts w:ascii="黑体" w:eastAsia="黑体" w:hAnsi="黑体" w:hint="eastAsia"/>
          <w:bCs/>
          <w:sz w:val="24"/>
        </w:rPr>
        <w:t>声规划</w:t>
      </w:r>
      <w:r w:rsidRPr="00DB63AC">
        <w:rPr>
          <w:rFonts w:ascii="黑体" w:eastAsia="黑体" w:hAnsi="黑体"/>
          <w:bCs/>
          <w:sz w:val="24"/>
        </w:rPr>
        <w:t>对照表</w:t>
      </w:r>
    </w:p>
    <w:tbl>
      <w:tblPr>
        <w:tblW w:w="13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5"/>
        <w:gridCol w:w="1922"/>
        <w:gridCol w:w="8"/>
        <w:gridCol w:w="1371"/>
        <w:gridCol w:w="8"/>
        <w:gridCol w:w="1416"/>
        <w:gridCol w:w="7970"/>
      </w:tblGrid>
      <w:tr w:rsidR="00E951AE" w:rsidRPr="00852734" w:rsidTr="000264E0">
        <w:trPr>
          <w:trHeight w:val="295"/>
          <w:jc w:val="center"/>
        </w:trPr>
        <w:tc>
          <w:tcPr>
            <w:tcW w:w="1205" w:type="dxa"/>
            <w:vAlign w:val="center"/>
          </w:tcPr>
          <w:bookmarkEnd w:id="0"/>
          <w:p w:rsidR="00E951AE" w:rsidRDefault="00E951AE" w:rsidP="00026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E951AE" w:rsidRPr="00852734" w:rsidRDefault="00E951AE" w:rsidP="00026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</w:p>
        </w:tc>
        <w:tc>
          <w:tcPr>
            <w:tcW w:w="1930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</w:t>
            </w:r>
            <w:r>
              <w:rPr>
                <w:szCs w:val="21"/>
              </w:rPr>
              <w:t>位置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szCs w:val="21"/>
              </w:rPr>
              <w:t>区划类别</w:t>
            </w:r>
          </w:p>
        </w:tc>
        <w:tc>
          <w:tcPr>
            <w:tcW w:w="1416" w:type="dxa"/>
            <w:vAlign w:val="center"/>
          </w:tcPr>
          <w:p w:rsidR="00E951AE" w:rsidRDefault="00E951AE" w:rsidP="00026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调整后</w:t>
            </w:r>
          </w:p>
          <w:p w:rsidR="00E951AE" w:rsidRPr="00852734" w:rsidRDefault="00E951AE" w:rsidP="000264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区划类别</w:t>
            </w:r>
          </w:p>
        </w:tc>
        <w:tc>
          <w:tcPr>
            <w:tcW w:w="7970" w:type="dxa"/>
            <w:vAlign w:val="center"/>
          </w:tcPr>
          <w:p w:rsidR="00E951AE" w:rsidRPr="00852734" w:rsidRDefault="00E951AE" w:rsidP="00026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调整原因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 w:val="restart"/>
            <w:vAlign w:val="center"/>
          </w:tcPr>
          <w:p w:rsidR="00E951AE" w:rsidRPr="00852734" w:rsidRDefault="00E951AE" w:rsidP="00026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崇川区</w:t>
            </w:r>
          </w:p>
        </w:tc>
        <w:tc>
          <w:tcPr>
            <w:tcW w:w="1922" w:type="dxa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老城</w:t>
            </w:r>
            <w:r>
              <w:rPr>
                <w:rFonts w:hint="eastAsia"/>
                <w:color w:val="000000"/>
                <w:szCs w:val="21"/>
              </w:rPr>
              <w:t>01-2</w:t>
            </w:r>
            <w:r>
              <w:rPr>
                <w:rFonts w:hint="eastAsia"/>
                <w:color w:val="000000"/>
                <w:szCs w:val="21"/>
              </w:rPr>
              <w:t>单元沿江</w:t>
            </w:r>
            <w:r>
              <w:rPr>
                <w:color w:val="000000"/>
                <w:szCs w:val="21"/>
              </w:rPr>
              <w:t>区域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>区</w:t>
            </w:r>
          </w:p>
        </w:tc>
        <w:tc>
          <w:tcPr>
            <w:tcW w:w="1424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>区</w:t>
            </w:r>
          </w:p>
        </w:tc>
        <w:tc>
          <w:tcPr>
            <w:tcW w:w="7970" w:type="dxa"/>
            <w:vAlign w:val="center"/>
          </w:tcPr>
          <w:p w:rsidR="00E951AE" w:rsidRPr="00852734" w:rsidRDefault="00E951AE" w:rsidP="000264E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近期规划调整，</w:t>
            </w:r>
            <w:r>
              <w:rPr>
                <w:rFonts w:hint="eastAsia"/>
                <w:color w:val="000000"/>
                <w:szCs w:val="21"/>
              </w:rPr>
              <w:t>沿江</w:t>
            </w:r>
            <w:r>
              <w:rPr>
                <w:color w:val="000000"/>
                <w:szCs w:val="21"/>
              </w:rPr>
              <w:t>部分定位为旅游观光、休闲等功能，因此沿江</w:t>
            </w:r>
            <w:r>
              <w:rPr>
                <w:rFonts w:hint="eastAsia"/>
                <w:color w:val="000000"/>
                <w:szCs w:val="21"/>
              </w:rPr>
              <w:t>企业企业</w:t>
            </w:r>
            <w:r>
              <w:rPr>
                <w:color w:val="000000"/>
                <w:szCs w:val="21"/>
              </w:rPr>
              <w:t>将陆续搬迁，目前搬迁工作</w:t>
            </w:r>
            <w:r>
              <w:rPr>
                <w:rFonts w:hint="eastAsia"/>
                <w:color w:val="000000"/>
                <w:szCs w:val="21"/>
              </w:rPr>
              <w:t>已开始，</w:t>
            </w:r>
            <w:r>
              <w:rPr>
                <w:color w:val="000000"/>
                <w:szCs w:val="21"/>
              </w:rPr>
              <w:t>因此调整为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新城</w:t>
            </w:r>
            <w:r>
              <w:rPr>
                <w:rFonts w:hint="eastAsia"/>
                <w:color w:val="000000"/>
                <w:szCs w:val="21"/>
              </w:rPr>
              <w:t>01-2</w:t>
            </w:r>
            <w:r>
              <w:rPr>
                <w:rFonts w:hint="eastAsia"/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>区</w:t>
            </w:r>
          </w:p>
        </w:tc>
        <w:tc>
          <w:tcPr>
            <w:tcW w:w="1424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>区</w:t>
            </w:r>
          </w:p>
        </w:tc>
        <w:tc>
          <w:tcPr>
            <w:tcW w:w="7970" w:type="dxa"/>
            <w:vAlign w:val="center"/>
          </w:tcPr>
          <w:p w:rsidR="00E951AE" w:rsidRPr="00852734" w:rsidRDefault="00E951AE" w:rsidP="000264E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近期规划调整，</w:t>
            </w:r>
            <w:r>
              <w:rPr>
                <w:rFonts w:hint="eastAsia"/>
                <w:color w:val="000000"/>
                <w:szCs w:val="21"/>
              </w:rPr>
              <w:t>沿江</w:t>
            </w:r>
            <w:r>
              <w:rPr>
                <w:color w:val="000000"/>
                <w:szCs w:val="21"/>
              </w:rPr>
              <w:t>部分定位为旅游观光、休闲等功能，因此沿江</w:t>
            </w:r>
            <w:r>
              <w:rPr>
                <w:rFonts w:hint="eastAsia"/>
                <w:color w:val="000000"/>
                <w:szCs w:val="21"/>
              </w:rPr>
              <w:t>企业</w:t>
            </w:r>
            <w:r>
              <w:rPr>
                <w:color w:val="000000"/>
                <w:szCs w:val="21"/>
              </w:rPr>
              <w:t>仅保留中远公司，其余</w:t>
            </w:r>
            <w:r>
              <w:rPr>
                <w:rFonts w:hint="eastAsia"/>
                <w:color w:val="000000"/>
                <w:szCs w:val="21"/>
              </w:rPr>
              <w:t>企业</w:t>
            </w:r>
            <w:r>
              <w:rPr>
                <w:color w:val="000000"/>
                <w:szCs w:val="21"/>
              </w:rPr>
              <w:t>将陆续搬迁，目前搬迁工作</w:t>
            </w:r>
            <w:r>
              <w:rPr>
                <w:rFonts w:hint="eastAsia"/>
                <w:color w:val="000000"/>
                <w:szCs w:val="21"/>
              </w:rPr>
              <w:t>已开始，</w:t>
            </w:r>
            <w:r>
              <w:rPr>
                <w:color w:val="000000"/>
                <w:szCs w:val="21"/>
              </w:rPr>
              <w:t>因此调整为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观音山新城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>区</w:t>
            </w:r>
          </w:p>
        </w:tc>
        <w:tc>
          <w:tcPr>
            <w:tcW w:w="1424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7970" w:type="dxa"/>
            <w:vAlign w:val="center"/>
          </w:tcPr>
          <w:p w:rsidR="00E951AE" w:rsidRPr="00852734" w:rsidRDefault="00E951AE" w:rsidP="000264E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南通市规划，所在区域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住宅、</w:t>
            </w:r>
            <w:r>
              <w:rPr>
                <w:rFonts w:hint="eastAsia"/>
                <w:color w:val="000000"/>
                <w:szCs w:val="21"/>
              </w:rPr>
              <w:t>办公</w:t>
            </w:r>
            <w:r>
              <w:rPr>
                <w:color w:val="000000"/>
                <w:szCs w:val="21"/>
              </w:rPr>
              <w:t>、教育等</w:t>
            </w:r>
            <w:r>
              <w:rPr>
                <w:rFonts w:hint="eastAsia"/>
                <w:color w:val="000000"/>
                <w:szCs w:val="21"/>
              </w:rPr>
              <w:t>用地</w:t>
            </w:r>
            <w:r>
              <w:rPr>
                <w:color w:val="000000"/>
                <w:szCs w:val="21"/>
              </w:rPr>
              <w:t>为主，</w:t>
            </w:r>
            <w:r w:rsidRPr="00852734">
              <w:rPr>
                <w:rFonts w:ascii="宋体" w:hAnsi="宋体" w:cs="宋体" w:hint="eastAsia"/>
                <w:szCs w:val="21"/>
              </w:rPr>
              <w:t>Ⅰ</w:t>
            </w:r>
            <w:r>
              <w:rPr>
                <w:rFonts w:ascii="宋体" w:hAnsi="宋体" w:cs="宋体" w:hint="eastAsia"/>
                <w:szCs w:val="21"/>
              </w:rPr>
              <w:t>类</w:t>
            </w:r>
            <w:r>
              <w:rPr>
                <w:rFonts w:ascii="宋体" w:hAnsi="宋体" w:cs="宋体"/>
                <w:szCs w:val="21"/>
              </w:rPr>
              <w:t>用地占比超过</w:t>
            </w:r>
            <w:r>
              <w:rPr>
                <w:rFonts w:ascii="宋体" w:hAnsi="宋体" w:cs="宋体" w:hint="eastAsia"/>
                <w:szCs w:val="21"/>
              </w:rPr>
              <w:t>70</w:t>
            </w:r>
            <w:r>
              <w:rPr>
                <w:rFonts w:ascii="宋体" w:hAnsi="宋体" w:cs="宋体"/>
                <w:szCs w:val="21"/>
              </w:rPr>
              <w:t>%，因此调整为</w:t>
            </w:r>
            <w:r>
              <w:rPr>
                <w:rFonts w:ascii="宋体" w:hAnsi="宋体" w:cs="宋体" w:hint="eastAsia"/>
                <w:szCs w:val="21"/>
              </w:rPr>
              <w:t>1类</w:t>
            </w:r>
            <w:r>
              <w:rPr>
                <w:rFonts w:ascii="宋体" w:hAnsi="宋体" w:cs="宋体"/>
                <w:szCs w:val="21"/>
              </w:rPr>
              <w:t>区，汽车东站周边区域由于车流、人流、商业等，仍保留为</w:t>
            </w:r>
            <w:r>
              <w:rPr>
                <w:rFonts w:ascii="宋体" w:hAnsi="宋体" w:cs="宋体" w:hint="eastAsia"/>
                <w:szCs w:val="21"/>
              </w:rPr>
              <w:t>2类区域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Pr="00852734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新城</w:t>
            </w:r>
            <w:r>
              <w:rPr>
                <w:rFonts w:hint="eastAsia"/>
                <w:color w:val="000000"/>
                <w:szCs w:val="21"/>
              </w:rPr>
              <w:t>04</w:t>
            </w:r>
            <w:r>
              <w:rPr>
                <w:rFonts w:hint="eastAsia"/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1424" w:type="dxa"/>
            <w:gridSpan w:val="2"/>
            <w:vAlign w:val="center"/>
          </w:tcPr>
          <w:p w:rsidR="00E951AE" w:rsidRPr="00852734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7970" w:type="dxa"/>
            <w:vAlign w:val="center"/>
          </w:tcPr>
          <w:p w:rsidR="00E951AE" w:rsidRPr="00852734" w:rsidRDefault="00E951AE" w:rsidP="000264E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南通市规划，所在区域</w:t>
            </w: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color w:val="000000"/>
                <w:szCs w:val="21"/>
              </w:rPr>
              <w:t>属于中央创新区，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住宅、</w:t>
            </w:r>
            <w:r>
              <w:rPr>
                <w:rFonts w:hint="eastAsia"/>
                <w:color w:val="000000"/>
                <w:szCs w:val="21"/>
              </w:rPr>
              <w:t>办公</w:t>
            </w:r>
            <w:r>
              <w:rPr>
                <w:color w:val="000000"/>
                <w:szCs w:val="21"/>
              </w:rPr>
              <w:t>、教育等</w:t>
            </w:r>
            <w:r>
              <w:rPr>
                <w:rFonts w:hint="eastAsia"/>
                <w:color w:val="000000"/>
                <w:szCs w:val="21"/>
              </w:rPr>
              <w:t>用地</w:t>
            </w:r>
            <w:r>
              <w:rPr>
                <w:color w:val="000000"/>
                <w:szCs w:val="21"/>
              </w:rPr>
              <w:t>为主，</w:t>
            </w:r>
            <w:r>
              <w:rPr>
                <w:rFonts w:hint="eastAsia"/>
                <w:color w:val="000000"/>
                <w:szCs w:val="21"/>
              </w:rPr>
              <w:t>世纪大道</w:t>
            </w:r>
            <w:r>
              <w:rPr>
                <w:color w:val="000000"/>
                <w:szCs w:val="21"/>
              </w:rPr>
              <w:t>以北、营船港东区域以商业</w:t>
            </w:r>
            <w:r>
              <w:rPr>
                <w:rFonts w:hint="eastAsia"/>
                <w:color w:val="000000"/>
                <w:szCs w:val="21"/>
              </w:rPr>
              <w:t>用地为主</w:t>
            </w:r>
            <w:r>
              <w:rPr>
                <w:color w:val="000000"/>
                <w:szCs w:val="21"/>
              </w:rPr>
              <w:t>，因此根据现行规划，将功能区分别调整为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</w:t>
            </w:r>
            <w:r>
              <w:rPr>
                <w:color w:val="000000"/>
                <w:szCs w:val="21"/>
              </w:rPr>
              <w:t>区域。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 w:val="restart"/>
            <w:vAlign w:val="center"/>
          </w:tcPr>
          <w:p w:rsidR="00E951AE" w:rsidRPr="00852734" w:rsidRDefault="00E951AE" w:rsidP="00026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港闸区</w:t>
            </w:r>
          </w:p>
        </w:tc>
        <w:tc>
          <w:tcPr>
            <w:tcW w:w="1922" w:type="dxa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唐闸单元</w:t>
            </w:r>
            <w:r>
              <w:rPr>
                <w:rFonts w:hint="eastAsia"/>
                <w:color w:val="000000"/>
                <w:szCs w:val="21"/>
              </w:rPr>
              <w:t>-2</w:t>
            </w:r>
            <w:r>
              <w:rPr>
                <w:rFonts w:hint="eastAsia"/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1424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7970" w:type="dxa"/>
            <w:vAlign w:val="center"/>
          </w:tcPr>
          <w:p w:rsidR="00E951AE" w:rsidRDefault="00E951AE" w:rsidP="000264E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唐闸</w:t>
            </w:r>
            <w:r>
              <w:rPr>
                <w:color w:val="000000"/>
                <w:szCs w:val="21"/>
              </w:rPr>
              <w:t>单元</w:t>
            </w:r>
            <w:r>
              <w:rPr>
                <w:rFonts w:hint="eastAsia"/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幸</w:t>
            </w:r>
            <w:r>
              <w:rPr>
                <w:rFonts w:hint="eastAsia"/>
                <w:color w:val="000000"/>
                <w:szCs w:val="21"/>
              </w:rPr>
              <w:t>余</w:t>
            </w:r>
            <w:r>
              <w:rPr>
                <w:color w:val="000000"/>
                <w:szCs w:val="21"/>
              </w:rPr>
              <w:t>路为界，路北仍有部分工业企业，</w:t>
            </w:r>
            <w:r>
              <w:rPr>
                <w:rFonts w:hint="eastAsia"/>
                <w:color w:val="000000"/>
                <w:szCs w:val="21"/>
              </w:rPr>
              <w:t>路南</w:t>
            </w:r>
            <w:r>
              <w:rPr>
                <w:color w:val="000000"/>
                <w:szCs w:val="21"/>
              </w:rPr>
              <w:t>主要以建成</w:t>
            </w:r>
            <w:r>
              <w:rPr>
                <w:rFonts w:hint="eastAsia"/>
                <w:color w:val="000000"/>
                <w:szCs w:val="21"/>
              </w:rPr>
              <w:t>小区</w:t>
            </w:r>
            <w:r>
              <w:rPr>
                <w:color w:val="000000"/>
                <w:szCs w:val="21"/>
              </w:rPr>
              <w:t>为主，因此根据实际建设情况，将声规划进行了调整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闸西</w:t>
            </w:r>
            <w:r>
              <w:rPr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1424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7970" w:type="dxa"/>
            <w:vAlign w:val="center"/>
          </w:tcPr>
          <w:p w:rsidR="00E951AE" w:rsidRDefault="00E951AE" w:rsidP="000264E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闸西</w:t>
            </w:r>
            <w:r>
              <w:rPr>
                <w:color w:val="000000"/>
                <w:szCs w:val="21"/>
              </w:rPr>
              <w:t>单元根据规划主要以居住、商业为主，</w:t>
            </w:r>
            <w:r>
              <w:rPr>
                <w:rFonts w:hint="eastAsia"/>
                <w:color w:val="000000"/>
                <w:szCs w:val="21"/>
              </w:rPr>
              <w:t>原地块</w:t>
            </w:r>
            <w:r>
              <w:rPr>
                <w:color w:val="000000"/>
                <w:szCs w:val="21"/>
              </w:rPr>
              <w:t>内企业逐步</w:t>
            </w:r>
            <w:r>
              <w:rPr>
                <w:rFonts w:hint="eastAsia"/>
                <w:color w:val="000000"/>
                <w:szCs w:val="21"/>
              </w:rPr>
              <w:t>关闭，</w:t>
            </w:r>
            <w:r>
              <w:rPr>
                <w:color w:val="000000"/>
                <w:szCs w:val="21"/>
              </w:rPr>
              <w:t>因此根据用地性质</w:t>
            </w:r>
            <w:r>
              <w:rPr>
                <w:rFonts w:hint="eastAsia"/>
                <w:color w:val="000000"/>
                <w:szCs w:val="21"/>
              </w:rPr>
              <w:t>大部分调整为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类区，少量</w:t>
            </w:r>
            <w:r>
              <w:rPr>
                <w:color w:val="000000"/>
                <w:szCs w:val="21"/>
              </w:rPr>
              <w:t>保留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类区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市北新城</w:t>
            </w:r>
            <w:r>
              <w:rPr>
                <w:color w:val="000000"/>
                <w:szCs w:val="21"/>
              </w:rPr>
              <w:t>01-1</w:t>
            </w:r>
            <w:r>
              <w:rPr>
                <w:rFonts w:hint="eastAsia"/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1424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7970" w:type="dxa"/>
            <w:vAlign w:val="center"/>
          </w:tcPr>
          <w:p w:rsidR="00E951AE" w:rsidRDefault="00E951AE" w:rsidP="000264E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南通市规划，</w:t>
            </w:r>
            <w:r>
              <w:rPr>
                <w:rFonts w:hint="eastAsia"/>
                <w:color w:val="000000"/>
                <w:szCs w:val="21"/>
              </w:rPr>
              <w:t>市北新城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单元</w:t>
            </w:r>
            <w:r>
              <w:rPr>
                <w:color w:val="000000"/>
                <w:szCs w:val="21"/>
              </w:rPr>
              <w:t>以</w:t>
            </w:r>
            <w:r>
              <w:rPr>
                <w:rFonts w:hint="eastAsia"/>
                <w:color w:val="000000"/>
                <w:szCs w:val="21"/>
              </w:rPr>
              <w:t>永福</w:t>
            </w:r>
            <w:r>
              <w:rPr>
                <w:color w:val="000000"/>
                <w:szCs w:val="21"/>
              </w:rPr>
              <w:t>路为界，路北</w:t>
            </w:r>
            <w:r>
              <w:rPr>
                <w:rFonts w:hint="eastAsia"/>
                <w:color w:val="000000"/>
                <w:szCs w:val="21"/>
              </w:rPr>
              <w:t>规划为工业</w:t>
            </w:r>
            <w:r>
              <w:rPr>
                <w:color w:val="000000"/>
                <w:szCs w:val="21"/>
              </w:rPr>
              <w:t>用地，因此调整为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类区；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市北新城</w:t>
            </w:r>
            <w:r>
              <w:rPr>
                <w:color w:val="000000"/>
                <w:szCs w:val="21"/>
              </w:rPr>
              <w:t>01-2</w:t>
            </w:r>
            <w:r>
              <w:rPr>
                <w:rFonts w:hint="eastAsia"/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1424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7970" w:type="dxa"/>
            <w:vAlign w:val="center"/>
          </w:tcPr>
          <w:p w:rsidR="00E951AE" w:rsidRDefault="00E951AE" w:rsidP="000264E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南通市规划，</w:t>
            </w:r>
            <w:r>
              <w:rPr>
                <w:rFonts w:hint="eastAsia"/>
                <w:color w:val="000000"/>
                <w:szCs w:val="21"/>
              </w:rPr>
              <w:t>市北新城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单元</w:t>
            </w:r>
            <w:r>
              <w:rPr>
                <w:color w:val="000000"/>
                <w:szCs w:val="21"/>
              </w:rPr>
              <w:t>以</w:t>
            </w:r>
            <w:r>
              <w:rPr>
                <w:rFonts w:hint="eastAsia"/>
                <w:color w:val="000000"/>
                <w:szCs w:val="21"/>
              </w:rPr>
              <w:t>永福</w:t>
            </w:r>
            <w:r>
              <w:rPr>
                <w:color w:val="000000"/>
                <w:szCs w:val="21"/>
              </w:rPr>
              <w:t>路为界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路南主要为</w:t>
            </w:r>
            <w:r>
              <w:rPr>
                <w:rFonts w:hint="eastAsia"/>
                <w:color w:val="000000"/>
                <w:szCs w:val="21"/>
              </w:rPr>
              <w:t>已建成一定规模</w:t>
            </w:r>
            <w:r>
              <w:rPr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小区</w:t>
            </w:r>
            <w:r>
              <w:rPr>
                <w:color w:val="000000"/>
                <w:szCs w:val="21"/>
              </w:rPr>
              <w:t>、学校、医院等，因此调整为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类区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市北新城</w:t>
            </w:r>
            <w:r>
              <w:rPr>
                <w:color w:val="000000"/>
                <w:szCs w:val="21"/>
              </w:rPr>
              <w:t>02-1</w:t>
            </w:r>
            <w:r>
              <w:rPr>
                <w:rFonts w:hint="eastAsia"/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1424" w:type="dxa"/>
            <w:gridSpan w:val="2"/>
            <w:vAlign w:val="center"/>
          </w:tcPr>
          <w:p w:rsidR="00E951AE" w:rsidRDefault="00E951AE" w:rsidP="000264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类区</w:t>
            </w:r>
          </w:p>
        </w:tc>
        <w:tc>
          <w:tcPr>
            <w:tcW w:w="7970" w:type="dxa"/>
            <w:vAlign w:val="center"/>
          </w:tcPr>
          <w:p w:rsidR="00E951AE" w:rsidRDefault="00E951AE" w:rsidP="000264E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市北</w:t>
            </w:r>
            <w:r>
              <w:rPr>
                <w:color w:val="000000"/>
                <w:szCs w:val="21"/>
              </w:rPr>
              <w:t>新城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单元</w:t>
            </w:r>
            <w:r>
              <w:rPr>
                <w:color w:val="000000"/>
                <w:szCs w:val="21"/>
              </w:rPr>
              <w:t>以江海</w:t>
            </w:r>
            <w:r>
              <w:rPr>
                <w:rFonts w:hint="eastAsia"/>
                <w:color w:val="000000"/>
                <w:szCs w:val="21"/>
              </w:rPr>
              <w:t>大道</w:t>
            </w:r>
            <w:r>
              <w:rPr>
                <w:color w:val="000000"/>
                <w:szCs w:val="21"/>
              </w:rPr>
              <w:t>为界，道路以南主要以商业为主，因此仍</w:t>
            </w:r>
            <w:r>
              <w:rPr>
                <w:rFonts w:hint="eastAsia"/>
                <w:color w:val="000000"/>
                <w:szCs w:val="21"/>
              </w:rPr>
              <w:t>保留</w:t>
            </w:r>
            <w:r>
              <w:rPr>
                <w:color w:val="000000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类区</w:t>
            </w:r>
            <w:r>
              <w:rPr>
                <w:color w:val="000000"/>
                <w:szCs w:val="21"/>
              </w:rPr>
              <w:t>；道路以北已建成</w:t>
            </w:r>
            <w:r>
              <w:rPr>
                <w:rFonts w:hint="eastAsia"/>
                <w:color w:val="000000"/>
                <w:szCs w:val="21"/>
              </w:rPr>
              <w:t>一定</w:t>
            </w:r>
            <w:r>
              <w:rPr>
                <w:color w:val="000000"/>
                <w:szCs w:val="21"/>
              </w:rPr>
              <w:t>规模的居住区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并由学校、办公</w:t>
            </w:r>
            <w:r>
              <w:rPr>
                <w:rFonts w:hint="eastAsia"/>
                <w:color w:val="000000"/>
                <w:szCs w:val="21"/>
              </w:rPr>
              <w:t>用地</w:t>
            </w:r>
            <w:r>
              <w:rPr>
                <w:color w:val="000000"/>
                <w:szCs w:val="21"/>
              </w:rPr>
              <w:t>，因此调整为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类区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E951AE" w:rsidRPr="00852734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火车站物流园区单元</w:t>
            </w:r>
            <w:r>
              <w:rPr>
                <w:rFonts w:hint="eastAsia"/>
                <w:color w:val="000000"/>
                <w:szCs w:val="21"/>
              </w:rPr>
              <w:t>及</w:t>
            </w:r>
            <w:r>
              <w:rPr>
                <w:color w:val="000000"/>
                <w:szCs w:val="21"/>
              </w:rPr>
              <w:t>以东未规划区域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1</w:t>
            </w:r>
            <w:r w:rsidRPr="00202AC6">
              <w:rPr>
                <w:color w:val="000000"/>
                <w:szCs w:val="21"/>
              </w:rPr>
              <w:t>、</w:t>
            </w: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424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97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南通市火车站所在地，区内主要为物流用地、交通场地和城市广场、社会停车场等用地人流、车流分布较大，因此调整为</w:t>
            </w: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类区。</w:t>
            </w:r>
            <w:r>
              <w:rPr>
                <w:rFonts w:hint="eastAsia"/>
                <w:color w:val="000000"/>
                <w:szCs w:val="21"/>
              </w:rPr>
              <w:t>物流园</w:t>
            </w:r>
            <w:r>
              <w:rPr>
                <w:color w:val="000000"/>
                <w:szCs w:val="21"/>
              </w:rPr>
              <w:t>以东</w:t>
            </w:r>
            <w:r>
              <w:rPr>
                <w:rFonts w:hint="eastAsia"/>
                <w:color w:val="000000"/>
                <w:szCs w:val="21"/>
              </w:rPr>
              <w:t>至</w:t>
            </w:r>
            <w:r>
              <w:rPr>
                <w:color w:val="000000"/>
                <w:szCs w:val="21"/>
              </w:rPr>
              <w:t>港闸区边界区域部分目前以集中工</w:t>
            </w:r>
            <w:r>
              <w:rPr>
                <w:rFonts w:hint="eastAsia"/>
                <w:color w:val="000000"/>
                <w:szCs w:val="21"/>
              </w:rPr>
              <w:t>业</w:t>
            </w:r>
            <w:r>
              <w:rPr>
                <w:color w:val="000000"/>
                <w:szCs w:val="21"/>
              </w:rPr>
              <w:t>企业，且日后规划为工业园区，因此调整为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类区</w:t>
            </w:r>
            <w:r>
              <w:rPr>
                <w:color w:val="000000"/>
                <w:szCs w:val="21"/>
              </w:rPr>
              <w:t>。</w:t>
            </w:r>
          </w:p>
        </w:tc>
      </w:tr>
    </w:tbl>
    <w:p w:rsidR="00E951AE" w:rsidRDefault="00E951AE" w:rsidP="00E17143">
      <w:pPr>
        <w:spacing w:beforeLines="50" w:before="156" w:afterLines="50" w:after="156" w:line="240" w:lineRule="exact"/>
        <w:ind w:firstLine="422"/>
        <w:jc w:val="center"/>
        <w:rPr>
          <w:rFonts w:ascii="黑体" w:eastAsia="黑体" w:hAnsi="黑体"/>
          <w:bCs/>
          <w:sz w:val="24"/>
        </w:rPr>
      </w:pPr>
    </w:p>
    <w:p w:rsidR="000E3DB8" w:rsidRPr="00DB63AC" w:rsidRDefault="000E3DB8" w:rsidP="00E17143">
      <w:pPr>
        <w:spacing w:beforeLines="50" w:before="156" w:afterLines="50" w:after="156" w:line="240" w:lineRule="exact"/>
        <w:ind w:firstLine="422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续</w:t>
      </w:r>
      <w:r w:rsidRPr="00DB63AC">
        <w:rPr>
          <w:rFonts w:ascii="黑体" w:eastAsia="黑体" w:hAnsi="黑体" w:hint="eastAsia"/>
          <w:bCs/>
          <w:sz w:val="24"/>
        </w:rPr>
        <w:t xml:space="preserve">表  </w:t>
      </w:r>
      <w:r>
        <w:rPr>
          <w:rFonts w:ascii="黑体" w:eastAsia="黑体" w:hAnsi="黑体" w:hint="eastAsia"/>
          <w:bCs/>
          <w:sz w:val="24"/>
        </w:rPr>
        <w:t>现行</w:t>
      </w:r>
      <w:r w:rsidRPr="00DB63AC">
        <w:rPr>
          <w:rFonts w:ascii="黑体" w:eastAsia="黑体" w:hAnsi="黑体" w:hint="eastAsia"/>
          <w:bCs/>
          <w:sz w:val="24"/>
        </w:rPr>
        <w:t>声规划</w:t>
      </w:r>
      <w:r>
        <w:rPr>
          <w:rFonts w:ascii="黑体" w:eastAsia="黑体" w:hAnsi="黑体" w:hint="eastAsia"/>
          <w:bCs/>
          <w:sz w:val="24"/>
        </w:rPr>
        <w:t>与调整</w:t>
      </w:r>
      <w:r w:rsidR="00692BAA">
        <w:rPr>
          <w:rFonts w:ascii="黑体" w:eastAsia="黑体" w:hAnsi="黑体" w:hint="eastAsia"/>
          <w:bCs/>
          <w:sz w:val="24"/>
        </w:rPr>
        <w:t>后</w:t>
      </w:r>
      <w:r>
        <w:rPr>
          <w:rFonts w:ascii="黑体" w:eastAsia="黑体" w:hAnsi="黑体" w:hint="eastAsia"/>
          <w:bCs/>
          <w:sz w:val="24"/>
        </w:rPr>
        <w:t>声规划</w:t>
      </w:r>
      <w:r w:rsidRPr="00DB63AC">
        <w:rPr>
          <w:rFonts w:ascii="黑体" w:eastAsia="黑体" w:hAnsi="黑体"/>
          <w:bCs/>
          <w:sz w:val="24"/>
        </w:rPr>
        <w:t>对照表</w:t>
      </w:r>
    </w:p>
    <w:tbl>
      <w:tblPr>
        <w:tblW w:w="134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5"/>
        <w:gridCol w:w="1922"/>
        <w:gridCol w:w="8"/>
        <w:gridCol w:w="1371"/>
        <w:gridCol w:w="8"/>
        <w:gridCol w:w="1708"/>
        <w:gridCol w:w="7230"/>
      </w:tblGrid>
      <w:tr w:rsidR="00E951AE" w:rsidRPr="00202AC6" w:rsidTr="000264E0">
        <w:trPr>
          <w:trHeight w:val="295"/>
          <w:jc w:val="center"/>
        </w:trPr>
        <w:tc>
          <w:tcPr>
            <w:tcW w:w="1205" w:type="dxa"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所属</w:t>
            </w:r>
          </w:p>
          <w:p w:rsidR="00E951AE" w:rsidRPr="00202AC6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区域</w:t>
            </w:r>
          </w:p>
        </w:tc>
        <w:tc>
          <w:tcPr>
            <w:tcW w:w="1930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具体位置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原区划类别</w:t>
            </w:r>
          </w:p>
        </w:tc>
        <w:tc>
          <w:tcPr>
            <w:tcW w:w="1708" w:type="dxa"/>
            <w:vAlign w:val="center"/>
          </w:tcPr>
          <w:p w:rsidR="00E951AE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拟调整</w:t>
            </w:r>
          </w:p>
          <w:p w:rsidR="00E951AE" w:rsidRPr="00202AC6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区划类别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调整原因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港闸区</w:t>
            </w: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港闸区未规划区域中的安置房集中区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1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区域以居住为主，因此调整为</w:t>
            </w:r>
            <w:r w:rsidRPr="00202AC6">
              <w:rPr>
                <w:color w:val="000000"/>
                <w:szCs w:val="21"/>
              </w:rPr>
              <w:t>1</w:t>
            </w:r>
            <w:r w:rsidRPr="00202AC6">
              <w:rPr>
                <w:color w:val="000000"/>
                <w:szCs w:val="21"/>
              </w:rPr>
              <w:t>类区。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Merge w:val="restart"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南通经济技术开发区（含</w:t>
            </w:r>
          </w:p>
          <w:p w:rsidR="00E951AE" w:rsidRPr="00202AC6" w:rsidRDefault="00E951AE" w:rsidP="000264E0">
            <w:pPr>
              <w:jc w:val="center"/>
              <w:rPr>
                <w:szCs w:val="21"/>
              </w:rPr>
            </w:pPr>
            <w:r w:rsidRPr="00202AC6">
              <w:rPr>
                <w:szCs w:val="21"/>
              </w:rPr>
              <w:t>苏通科技产业园）</w:t>
            </w:r>
          </w:p>
          <w:p w:rsidR="00E951AE" w:rsidRPr="00202AC6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新城</w:t>
            </w:r>
            <w:r w:rsidRPr="00202AC6">
              <w:rPr>
                <w:color w:val="000000"/>
                <w:szCs w:val="21"/>
              </w:rPr>
              <w:t>06</w:t>
            </w:r>
            <w:r w:rsidRPr="00202AC6">
              <w:rPr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类、</w:t>
            </w: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1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根据南通市规划，所在区域现属于中央创新区，以住宅、办公、教育等用地为主，</w:t>
            </w:r>
            <w:r w:rsidRPr="00202AC6">
              <w:rPr>
                <w:rFonts w:ascii="宋体" w:hAnsi="宋体" w:cs="宋体" w:hint="eastAsia"/>
                <w:szCs w:val="21"/>
              </w:rPr>
              <w:t>Ⅰ</w:t>
            </w:r>
            <w:r w:rsidRPr="00202AC6">
              <w:rPr>
                <w:szCs w:val="21"/>
              </w:rPr>
              <w:t>类用地占比超过</w:t>
            </w:r>
            <w:r w:rsidRPr="00202AC6">
              <w:rPr>
                <w:szCs w:val="21"/>
              </w:rPr>
              <w:t>70%</w:t>
            </w:r>
            <w:r w:rsidRPr="00202AC6">
              <w:rPr>
                <w:szCs w:val="21"/>
              </w:rPr>
              <w:t>，因此调整为</w:t>
            </w:r>
            <w:r w:rsidRPr="00202AC6">
              <w:rPr>
                <w:szCs w:val="21"/>
              </w:rPr>
              <w:t>1</w:t>
            </w:r>
            <w:r w:rsidRPr="00202AC6">
              <w:rPr>
                <w:szCs w:val="21"/>
              </w:rPr>
              <w:t>类区。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富民港单元</w:t>
            </w:r>
            <w:r w:rsidRPr="00202AC6">
              <w:rPr>
                <w:color w:val="000000"/>
                <w:szCs w:val="21"/>
              </w:rPr>
              <w:t>-1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类、</w:t>
            </w: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区域内居住、商业用地为主，</w:t>
            </w:r>
            <w:r w:rsidRPr="00202AC6">
              <w:rPr>
                <w:szCs w:val="21"/>
              </w:rPr>
              <w:t>因此调整为</w:t>
            </w:r>
            <w:r w:rsidRPr="00202AC6">
              <w:rPr>
                <w:szCs w:val="21"/>
              </w:rPr>
              <w:t>2</w:t>
            </w:r>
            <w:r w:rsidRPr="00202AC6">
              <w:rPr>
                <w:szCs w:val="21"/>
              </w:rPr>
              <w:t>类区。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开发区中心区单元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类、</w:t>
            </w: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1</w:t>
            </w:r>
            <w:r w:rsidRPr="00202AC6">
              <w:rPr>
                <w:color w:val="000000"/>
                <w:szCs w:val="21"/>
              </w:rPr>
              <w:t>类、</w:t>
            </w: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开发区中心区单元目前为住宅、办公、教育、商业等用地为主，其中以通盛大道为界，东侧区域已建成一定规模的学校、小区、办公、公园等，因此调整为</w:t>
            </w:r>
            <w:r w:rsidRPr="00202AC6">
              <w:rPr>
                <w:color w:val="000000"/>
                <w:szCs w:val="21"/>
              </w:rPr>
              <w:t>1</w:t>
            </w:r>
            <w:r w:rsidRPr="00202AC6">
              <w:rPr>
                <w:color w:val="000000"/>
                <w:szCs w:val="21"/>
              </w:rPr>
              <w:t>类区；其余区域有居住、商业等混合区域较多，因此调整为</w:t>
            </w: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类区。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苏通一期启动单元</w:t>
            </w:r>
            <w:r w:rsidRPr="00202AC6">
              <w:rPr>
                <w:color w:val="000000"/>
                <w:szCs w:val="21"/>
              </w:rPr>
              <w:t>-1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根据苏通科技产业园一期详规，已明确该区域以住宅、商业、办公等功能为主，因此因此调整为</w:t>
            </w: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类区。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苏通江海镇单元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根据苏通科技产业园二期详规，已明确该区域以住宅、商业等功能为主，因此因此调整为</w:t>
            </w: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类区。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苏通苏新合作园单元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根据苏通科技产业园二期详规，已明确该区域以住宅等功能为主，因此因此调整为</w:t>
            </w: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类区。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苏通核心区单元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根据苏通科技产业园一期详规，已明确该区域以住宅、商业、办公等功能为主，因此因此调整为</w:t>
            </w: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类区。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滨江</w:t>
            </w:r>
            <w:r w:rsidRPr="00202AC6">
              <w:rPr>
                <w:color w:val="000000"/>
                <w:szCs w:val="21"/>
              </w:rPr>
              <w:t>01</w:t>
            </w:r>
            <w:r w:rsidRPr="00202AC6">
              <w:rPr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根据苏通科技产业园二期详规，已明确该区域以观光等功能为主，因此因此调整为</w:t>
            </w: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类区。</w:t>
            </w:r>
          </w:p>
        </w:tc>
      </w:tr>
      <w:tr w:rsidR="00E951AE" w:rsidRPr="00202AC6" w:rsidTr="000264E0">
        <w:trPr>
          <w:trHeight w:val="318"/>
          <w:jc w:val="center"/>
        </w:trPr>
        <w:tc>
          <w:tcPr>
            <w:tcW w:w="1205" w:type="dxa"/>
            <w:vMerge/>
            <w:vAlign w:val="center"/>
          </w:tcPr>
          <w:p w:rsidR="00E951AE" w:rsidRPr="00202AC6" w:rsidRDefault="00E951AE" w:rsidP="000264E0">
            <w:pPr>
              <w:jc w:val="center"/>
              <w:rPr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滨江</w:t>
            </w:r>
            <w:r w:rsidRPr="00202AC6">
              <w:rPr>
                <w:color w:val="000000"/>
                <w:szCs w:val="21"/>
              </w:rPr>
              <w:t>02-1</w:t>
            </w:r>
            <w:r w:rsidRPr="00202AC6">
              <w:rPr>
                <w:color w:val="000000"/>
                <w:szCs w:val="21"/>
              </w:rPr>
              <w:t>单元</w:t>
            </w:r>
          </w:p>
        </w:tc>
        <w:tc>
          <w:tcPr>
            <w:tcW w:w="1379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3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1716" w:type="dxa"/>
            <w:gridSpan w:val="2"/>
            <w:vAlign w:val="center"/>
          </w:tcPr>
          <w:p w:rsidR="00E951AE" w:rsidRPr="00202AC6" w:rsidRDefault="00E951AE" w:rsidP="000264E0">
            <w:pPr>
              <w:jc w:val="center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</w:t>
            </w:r>
          </w:p>
        </w:tc>
        <w:tc>
          <w:tcPr>
            <w:tcW w:w="7230" w:type="dxa"/>
            <w:vAlign w:val="center"/>
          </w:tcPr>
          <w:p w:rsidR="00E951AE" w:rsidRPr="00202AC6" w:rsidRDefault="00E951AE" w:rsidP="000264E0">
            <w:pPr>
              <w:jc w:val="left"/>
              <w:rPr>
                <w:color w:val="000000"/>
                <w:szCs w:val="21"/>
              </w:rPr>
            </w:pPr>
            <w:r w:rsidRPr="00202AC6">
              <w:rPr>
                <w:color w:val="000000"/>
                <w:szCs w:val="21"/>
              </w:rPr>
              <w:t>根据苏通科技产业园二期详规，已明确该区域以住宅、商业、办公等功能为主，因此因此调整为</w:t>
            </w:r>
            <w:r w:rsidRPr="00202AC6">
              <w:rPr>
                <w:color w:val="000000"/>
                <w:szCs w:val="21"/>
              </w:rPr>
              <w:t>2</w:t>
            </w:r>
            <w:r w:rsidRPr="00202AC6">
              <w:rPr>
                <w:color w:val="000000"/>
                <w:szCs w:val="21"/>
              </w:rPr>
              <w:t>类区。</w:t>
            </w:r>
          </w:p>
        </w:tc>
      </w:tr>
    </w:tbl>
    <w:p w:rsidR="00E951AE" w:rsidRPr="00E951AE" w:rsidRDefault="00E951AE" w:rsidP="00CB3B5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  <w:sectPr w:rsidR="00E951AE" w:rsidRPr="00E951AE" w:rsidSect="000E3DB8">
          <w:footerReference w:type="default" r:id="rId8"/>
          <w:pgSz w:w="16838" w:h="11906" w:orient="landscape"/>
          <w:pgMar w:top="1560" w:right="1531" w:bottom="1814" w:left="1531" w:header="851" w:footer="992" w:gutter="0"/>
          <w:cols w:space="720"/>
          <w:docGrid w:type="linesAndChars" w:linePitch="312"/>
        </w:sectPr>
      </w:pPr>
    </w:p>
    <w:p w:rsidR="00D27F09" w:rsidRDefault="00D27F09" w:rsidP="00E17143">
      <w:pPr>
        <w:spacing w:line="59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</w:p>
    <w:sectPr w:rsidR="00D27F09" w:rsidSect="000E3DB8">
      <w:pgSz w:w="11906" w:h="16838"/>
      <w:pgMar w:top="1531" w:right="1814" w:bottom="1531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10" w:rsidRDefault="00417A10" w:rsidP="00D27F09">
      <w:r>
        <w:separator/>
      </w:r>
    </w:p>
  </w:endnote>
  <w:endnote w:type="continuationSeparator" w:id="0">
    <w:p w:rsidR="00417A10" w:rsidRDefault="00417A10" w:rsidP="00D2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09" w:rsidRDefault="00E1714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19748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F09" w:rsidRDefault="00D27F09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E01733"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="00E01733"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1714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E01733"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2.05pt;height:15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mfuQIAAKc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" filled="f" stroked="f">
              <v:textbox style="mso-fit-shape-to-text:t" inset="0,0,0,0">
                <w:txbxContent>
                  <w:p w:rsidR="00D27F09" w:rsidRDefault="00D27F09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 w:rsidR="00E01733"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 w:rsidR="00E01733"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E17143">
                      <w:rPr>
                        <w:noProof/>
                        <w:sz w:val="24"/>
                        <w:szCs w:val="24"/>
                      </w:rPr>
                      <w:t>1</w:t>
                    </w:r>
                    <w:r w:rsidR="00E01733"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F09" w:rsidRDefault="00D27F0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0;margin-top:0;width:9.05pt;height:12.0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" filled="f" stroked="f">
              <v:textbox style="mso-fit-shape-to-text:t" inset="0,0,0,0">
                <w:txbxContent>
                  <w:p w:rsidR="00D27F09" w:rsidRDefault="00D27F09"/>
                </w:txbxContent>
              </v:textbox>
              <w10:wrap anchorx="margin"/>
            </v:shape>
          </w:pict>
        </mc:Fallback>
      </mc:AlternateContent>
    </w:r>
  </w:p>
  <w:p w:rsidR="00D27F09" w:rsidRDefault="00D27F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10" w:rsidRDefault="00417A10" w:rsidP="00D27F09">
      <w:r>
        <w:separator/>
      </w:r>
    </w:p>
  </w:footnote>
  <w:footnote w:type="continuationSeparator" w:id="0">
    <w:p w:rsidR="00417A10" w:rsidRDefault="00417A10" w:rsidP="00D2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4"/>
    <w:rsid w:val="000379DC"/>
    <w:rsid w:val="00083689"/>
    <w:rsid w:val="000A37A8"/>
    <w:rsid w:val="000B2028"/>
    <w:rsid w:val="000B7CE5"/>
    <w:rsid w:val="000E3DB8"/>
    <w:rsid w:val="000E6B94"/>
    <w:rsid w:val="001141E3"/>
    <w:rsid w:val="0014252F"/>
    <w:rsid w:val="0017027A"/>
    <w:rsid w:val="00172AD8"/>
    <w:rsid w:val="0018738F"/>
    <w:rsid w:val="00191705"/>
    <w:rsid w:val="00191A77"/>
    <w:rsid w:val="001A075C"/>
    <w:rsid w:val="001E4099"/>
    <w:rsid w:val="0021318E"/>
    <w:rsid w:val="00221B88"/>
    <w:rsid w:val="00242E33"/>
    <w:rsid w:val="00287756"/>
    <w:rsid w:val="0028777F"/>
    <w:rsid w:val="00297CA5"/>
    <w:rsid w:val="002C3321"/>
    <w:rsid w:val="002F47E9"/>
    <w:rsid w:val="0031053C"/>
    <w:rsid w:val="003263A6"/>
    <w:rsid w:val="00332B04"/>
    <w:rsid w:val="003352B4"/>
    <w:rsid w:val="00337682"/>
    <w:rsid w:val="003A6AC2"/>
    <w:rsid w:val="003C12A4"/>
    <w:rsid w:val="003C22EB"/>
    <w:rsid w:val="003C6B41"/>
    <w:rsid w:val="004038FC"/>
    <w:rsid w:val="00417A10"/>
    <w:rsid w:val="0043729E"/>
    <w:rsid w:val="0043762A"/>
    <w:rsid w:val="004C0589"/>
    <w:rsid w:val="004C223E"/>
    <w:rsid w:val="004D3021"/>
    <w:rsid w:val="004D65B9"/>
    <w:rsid w:val="004F573D"/>
    <w:rsid w:val="00543E05"/>
    <w:rsid w:val="00544A84"/>
    <w:rsid w:val="0054636B"/>
    <w:rsid w:val="00554E91"/>
    <w:rsid w:val="00582F37"/>
    <w:rsid w:val="005B300F"/>
    <w:rsid w:val="005C3D47"/>
    <w:rsid w:val="005D0B01"/>
    <w:rsid w:val="005E4B1E"/>
    <w:rsid w:val="005E6615"/>
    <w:rsid w:val="005F4B5E"/>
    <w:rsid w:val="00622355"/>
    <w:rsid w:val="0062558C"/>
    <w:rsid w:val="006366B8"/>
    <w:rsid w:val="00636FA8"/>
    <w:rsid w:val="00646E22"/>
    <w:rsid w:val="00652BCA"/>
    <w:rsid w:val="00673C36"/>
    <w:rsid w:val="00692BAA"/>
    <w:rsid w:val="006B781B"/>
    <w:rsid w:val="006C4167"/>
    <w:rsid w:val="006D3D6B"/>
    <w:rsid w:val="006F4859"/>
    <w:rsid w:val="00735008"/>
    <w:rsid w:val="007379EA"/>
    <w:rsid w:val="00740E44"/>
    <w:rsid w:val="00770AE6"/>
    <w:rsid w:val="007A4E41"/>
    <w:rsid w:val="007C214A"/>
    <w:rsid w:val="007D2875"/>
    <w:rsid w:val="007E5B23"/>
    <w:rsid w:val="007F3374"/>
    <w:rsid w:val="00816CFC"/>
    <w:rsid w:val="008409B1"/>
    <w:rsid w:val="00870E3D"/>
    <w:rsid w:val="0089665E"/>
    <w:rsid w:val="008B0E25"/>
    <w:rsid w:val="008B28F5"/>
    <w:rsid w:val="008C026B"/>
    <w:rsid w:val="008D31AE"/>
    <w:rsid w:val="00903F79"/>
    <w:rsid w:val="0096003C"/>
    <w:rsid w:val="009736B4"/>
    <w:rsid w:val="009C4EC6"/>
    <w:rsid w:val="00A15844"/>
    <w:rsid w:val="00A2494B"/>
    <w:rsid w:val="00A47D50"/>
    <w:rsid w:val="00A51AAA"/>
    <w:rsid w:val="00A524FE"/>
    <w:rsid w:val="00A57C90"/>
    <w:rsid w:val="00A64B8B"/>
    <w:rsid w:val="00A8065A"/>
    <w:rsid w:val="00A853E0"/>
    <w:rsid w:val="00A86B22"/>
    <w:rsid w:val="00AD1F86"/>
    <w:rsid w:val="00AF61C0"/>
    <w:rsid w:val="00B05267"/>
    <w:rsid w:val="00B212AE"/>
    <w:rsid w:val="00B21714"/>
    <w:rsid w:val="00B51DA0"/>
    <w:rsid w:val="00B7475A"/>
    <w:rsid w:val="00B874F0"/>
    <w:rsid w:val="00BB0799"/>
    <w:rsid w:val="00BB748C"/>
    <w:rsid w:val="00BC5098"/>
    <w:rsid w:val="00C30745"/>
    <w:rsid w:val="00C3236C"/>
    <w:rsid w:val="00C77A82"/>
    <w:rsid w:val="00CA0206"/>
    <w:rsid w:val="00CB3B5D"/>
    <w:rsid w:val="00CD5FAA"/>
    <w:rsid w:val="00D02EB0"/>
    <w:rsid w:val="00D12CFC"/>
    <w:rsid w:val="00D27F09"/>
    <w:rsid w:val="00D43F61"/>
    <w:rsid w:val="00D51D2E"/>
    <w:rsid w:val="00D54615"/>
    <w:rsid w:val="00D63E9A"/>
    <w:rsid w:val="00D65266"/>
    <w:rsid w:val="00D764B4"/>
    <w:rsid w:val="00D77E2E"/>
    <w:rsid w:val="00DA2BDD"/>
    <w:rsid w:val="00DB33D6"/>
    <w:rsid w:val="00DC275E"/>
    <w:rsid w:val="00DE698D"/>
    <w:rsid w:val="00DF4AD8"/>
    <w:rsid w:val="00DF6690"/>
    <w:rsid w:val="00E01079"/>
    <w:rsid w:val="00E01733"/>
    <w:rsid w:val="00E17143"/>
    <w:rsid w:val="00E20688"/>
    <w:rsid w:val="00E642BC"/>
    <w:rsid w:val="00E72846"/>
    <w:rsid w:val="00E90372"/>
    <w:rsid w:val="00E951AE"/>
    <w:rsid w:val="00E97EA8"/>
    <w:rsid w:val="00EB19D2"/>
    <w:rsid w:val="00ED4262"/>
    <w:rsid w:val="00F07227"/>
    <w:rsid w:val="00F1187B"/>
    <w:rsid w:val="00F21C9F"/>
    <w:rsid w:val="00F22E72"/>
    <w:rsid w:val="00F265ED"/>
    <w:rsid w:val="00F46786"/>
    <w:rsid w:val="00F51A3B"/>
    <w:rsid w:val="00F613F1"/>
    <w:rsid w:val="00F90262"/>
    <w:rsid w:val="04C4477E"/>
    <w:rsid w:val="0B9C2320"/>
    <w:rsid w:val="0FAE79FD"/>
    <w:rsid w:val="12330EF0"/>
    <w:rsid w:val="18D11CB3"/>
    <w:rsid w:val="1B914050"/>
    <w:rsid w:val="24B5471B"/>
    <w:rsid w:val="2B965246"/>
    <w:rsid w:val="400E7EEE"/>
    <w:rsid w:val="40B5228D"/>
    <w:rsid w:val="4256765C"/>
    <w:rsid w:val="44B20A43"/>
    <w:rsid w:val="68843F3E"/>
    <w:rsid w:val="6BC92D45"/>
    <w:rsid w:val="6CB3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C3321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2C3321"/>
    <w:rPr>
      <w:sz w:val="18"/>
      <w:szCs w:val="18"/>
    </w:rPr>
  </w:style>
  <w:style w:type="character" w:customStyle="1" w:styleId="Char1">
    <w:name w:val="页眉 Char"/>
    <w:link w:val="a5"/>
    <w:uiPriority w:val="99"/>
    <w:rsid w:val="002C3321"/>
    <w:rPr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2C3321"/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nhideWhenUsed/>
    <w:rsid w:val="002C33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2C332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2C33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C3321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2C3321"/>
    <w:rPr>
      <w:sz w:val="18"/>
      <w:szCs w:val="18"/>
    </w:rPr>
  </w:style>
  <w:style w:type="character" w:customStyle="1" w:styleId="Char1">
    <w:name w:val="页眉 Char"/>
    <w:link w:val="a5"/>
    <w:uiPriority w:val="99"/>
    <w:rsid w:val="002C3321"/>
    <w:rPr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2C3321"/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nhideWhenUsed/>
    <w:rsid w:val="002C33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2C332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2C33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4E42F8-6312-4F0C-B08B-1AAEC991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1442</Characters>
  <Application>Microsoft Office Word</Application>
  <DocSecurity>0</DocSecurity>
  <Lines>12</Lines>
  <Paragraphs>3</Paragraphs>
  <ScaleCrop>false</ScaleCrop>
  <Company>微软公司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何永军</dc:creator>
  <cp:lastModifiedBy>Hewlett-Packard Company</cp:lastModifiedBy>
  <cp:revision>2</cp:revision>
  <cp:lastPrinted>2019-02-01T08:28:00Z</cp:lastPrinted>
  <dcterms:created xsi:type="dcterms:W3CDTF">2020-12-11T13:51:00Z</dcterms:created>
  <dcterms:modified xsi:type="dcterms:W3CDTF">2020-12-11T13:51:00Z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