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方正小标宋_GBK"/>
          <w:b/>
          <w:sz w:val="44"/>
          <w:szCs w:val="44"/>
        </w:rPr>
      </w:pPr>
      <w:bookmarkStart w:id="0" w:name="OLE_LINK1"/>
      <w:r>
        <w:rPr>
          <w:rFonts w:ascii="Times New Roman" w:hAnsi="Times New Roman" w:eastAsia="方正小标宋_GBK"/>
          <w:b/>
          <w:sz w:val="44"/>
          <w:szCs w:val="44"/>
        </w:rPr>
        <w:t>申领《危险废物经营许可证》受理公示</w:t>
      </w:r>
      <w:bookmarkEnd w:id="0"/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70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901" w:type="dxa"/>
            <w:noWrap w:val="0"/>
            <w:vAlign w:val="center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企业名称 </w:t>
            </w:r>
          </w:p>
        </w:tc>
        <w:tc>
          <w:tcPr>
            <w:tcW w:w="7098" w:type="dxa"/>
            <w:noWrap w:val="0"/>
            <w:vAlign w:val="center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南通东港化工有限公司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901" w:type="dxa"/>
            <w:noWrap w:val="0"/>
            <w:vAlign w:val="center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经营设施地址</w:t>
            </w:r>
          </w:p>
        </w:tc>
        <w:tc>
          <w:tcPr>
            <w:tcW w:w="7098" w:type="dxa"/>
            <w:noWrap w:val="0"/>
            <w:vAlign w:val="center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如东县沿海经济开发区黄海二路26号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901" w:type="dxa"/>
            <w:noWrap w:val="0"/>
            <w:vAlign w:val="center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法人代表</w:t>
            </w:r>
          </w:p>
        </w:tc>
        <w:tc>
          <w:tcPr>
            <w:tcW w:w="7098" w:type="dxa"/>
            <w:noWrap w:val="0"/>
            <w:vAlign w:val="center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钱永华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2" w:hRule="atLeast"/>
          <w:jc w:val="center"/>
        </w:trPr>
        <w:tc>
          <w:tcPr>
            <w:tcW w:w="1901" w:type="dxa"/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申请经营类别及数量</w:t>
            </w:r>
          </w:p>
        </w:tc>
        <w:tc>
          <w:tcPr>
            <w:tcW w:w="7098" w:type="dxa"/>
            <w:noWrap w:val="0"/>
            <w:vAlign w:val="center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处置、利用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废卤化有机溶剂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bookmarkStart w:id="1" w:name="_GoBack"/>
            <w:bookmarkEnd w:id="1"/>
          </w:p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（HW06,900-401-06、HW06,900-404-06、HW45,261-085-45、HW11,261-113-11、HW11,261-115-11、HW11,261-118-11）3000吨/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年</w:t>
            </w:r>
          </w:p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</w:p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(HW11,261-018-11、HW11,261-031-11、HW11,261-032-11、HW11,261-035-11)4000吨/年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8999" w:type="dxa"/>
            <w:gridSpan w:val="2"/>
            <w:noWrap w:val="0"/>
            <w:vAlign w:val="center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主要工艺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0"/>
                <w:sz w:val="28"/>
                <w:szCs w:val="28"/>
              </w:rPr>
              <w:t>单组份溶剂提纯及清洗剂生产工艺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56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将计量好的原料泵入蒸馏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>塔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，加热物料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56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从塔外冷凝器冷却物料回流塔釜内，回流稳定后，从取样口取样检测，合格后关闭回流阀收料。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left="0" w:leftChars="0" w:firstLine="56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将不同组分收入不同的接收槽，按照各组分不同沸点部分进行精馏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精馏出来的物料根据不同产品要求转入储罐。部分则进行碱洗或水洗才能作为合格品进入中间罐。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left="0" w:leftChars="0" w:firstLine="560" w:firstLineChars="200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经过水洗或碱洗的物料检测PH值，合格后转入车间中间罐内。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left="0" w:leftChars="0" w:firstLine="560" w:firstLineChars="200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反-1,2-二氯乙烯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8"/>
                <w:szCs w:val="28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三氯乙烯、1,1,2-三氯乙烷、四氯乙烯、四氯乙烷等从废卤化溶剂中蒸馏出的各种单组份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8"/>
                <w:szCs w:val="28"/>
              </w:rPr>
              <w:t>添加一定量的稳定剂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配置成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8"/>
                <w:szCs w:val="28"/>
              </w:rPr>
              <w:t>99.5%级的清洗剂。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废物的运输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1、废物运输方式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420" w:firstLineChars="150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废物委托有资质单位专用车辆运输。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2、现有运输工具数量和资质（或租用运输工具的来源、数量、资质）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560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委托南通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市第三运输有限责任公司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560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道路运输许可证编号：苏交运管许可 通字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320600300665号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560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营业执照编号：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91320611138508368N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3、废物运输时的应急方案和工具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560" w:firstLineChars="200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在运输过程中发现少量泄漏时，押运员和驾驶员立即用竹签和棉纱堵漏，并用海绵和木屑吸附，回收入桶。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560" w:firstLineChars="200"/>
              <w:textAlignment w:val="auto"/>
              <w:rPr>
                <w:rFonts w:hint="default" w:ascii="微软雅黑" w:hAnsi="微软雅黑" w:eastAsia="微软雅黑" w:cs="微软雅黑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为防止泄漏，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需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配带预留空桶、海绵、棉纱、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沙土、铁铲等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废物的贮存/暂存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1、废物贮存/暂存方式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560" w:firstLineChars="200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废卤化有机溶剂暂存丙类罐区专用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储罐进行贮存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afterLines="0" w:line="300" w:lineRule="auto"/>
              <w:ind w:firstLine="560" w:firstLineChars="200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处置利用过程中产生的危险废物贮存于专用危废仓库。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afterLines="0"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废物贮存场所情况简述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废卤化有机溶剂储罐（110㎥*2），采取防腐、防渗措施、罐区设有导流槽、围堰、配套应急池。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危废仓库579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㎡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满足八防要求，设有导流槽、集液沟池、应急照明灯、视频监控及尾气吸收装置。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废物处置工艺及设备、设施</w:t>
            </w:r>
          </w:p>
          <w:p>
            <w:pPr>
              <w:numPr>
                <w:ilvl w:val="0"/>
                <w:numId w:val="3"/>
              </w:numPr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废物处置工艺</w:t>
            </w:r>
          </w:p>
          <w:p>
            <w:pPr>
              <w:pStyle w:val="2"/>
              <w:jc w:val="center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493385" cy="3675380"/>
                  <wp:effectExtent l="0" t="0" r="8255" b="12700"/>
                  <wp:docPr id="79" name="图片 8" descr="二期单组份溶剂提纯及清洗剂生产工艺流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8" descr="二期单组份溶剂提纯及清洗剂生产工艺流程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385" cy="367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233"/>
              </w:tabs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2、废物处置设备、设施</w:t>
            </w:r>
          </w:p>
          <w:tbl>
            <w:tblPr>
              <w:tblStyle w:val="6"/>
              <w:tblW w:w="5044" w:type="pct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69"/>
              <w:gridCol w:w="2793"/>
              <w:gridCol w:w="3618"/>
              <w:gridCol w:w="12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</w:tcPr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18"/>
                      <w:szCs w:val="18"/>
                      <w:vertAlign w:val="baseline"/>
                      <w:lang w:val="en-US" w:eastAsia="zh-CN"/>
                    </w:rPr>
                    <w:t>序号</w:t>
                  </w:r>
                </w:p>
              </w:tc>
              <w:tc>
                <w:tcPr>
                  <w:tcW w:w="1577" w:type="pct"/>
                </w:tcPr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18"/>
                      <w:szCs w:val="18"/>
                      <w:vertAlign w:val="baseline"/>
                      <w:lang w:val="en-US" w:eastAsia="zh-CN"/>
                    </w:rPr>
                    <w:t>设备名称</w:t>
                  </w:r>
                </w:p>
              </w:tc>
              <w:tc>
                <w:tcPr>
                  <w:tcW w:w="2043" w:type="pct"/>
                </w:tcPr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18"/>
                      <w:szCs w:val="18"/>
                      <w:vertAlign w:val="baseline"/>
                      <w:lang w:val="en-US" w:eastAsia="zh-CN"/>
                    </w:rPr>
                    <w:t>规格</w:t>
                  </w:r>
                </w:p>
              </w:tc>
              <w:tc>
                <w:tcPr>
                  <w:tcW w:w="717" w:type="pct"/>
                </w:tcPr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18"/>
                      <w:szCs w:val="18"/>
                      <w:vertAlign w:val="baseline"/>
                      <w:lang w:val="en-US" w:eastAsia="zh-CN"/>
                    </w:rPr>
                    <w:t>数量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氯化釜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2000L搪玻璃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氯化塔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800*12000搪玻璃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3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氯化塔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800*12000碳钢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4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氯化鼓泡塔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600*12000搪玻璃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5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蒸馏塔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600*24000碳钢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6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精馏塔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600*24000碳钢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7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精馏塔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600*20000碳钢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8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塔釜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8000L碳钢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9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蒸馏塔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600*20000搪玻璃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10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蒸馏塔釜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5000L搪玻璃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11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精馏塔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400*8000搪玻璃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12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精馏塔釜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3000L搪玻璃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13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18"/>
                      <w:szCs w:val="18"/>
                    </w:rPr>
                    <w:t>液碱贮槽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18"/>
                      <w:szCs w:val="18"/>
                    </w:rPr>
                    <w:t>1600*4500,碳钢10立方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14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液碱计量槽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1200*2000碳钢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15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氯气缓冲罐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300*1200碳钢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16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氯气缓冲槽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400*1200碳钢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17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液氯缓冲槽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400*1200碳钢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18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四氯乙烯中间槽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2200*5500,碳钢20立方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19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四氯乙烯母液计量槽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1400*1500碳钢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20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四氯乙烯高位槽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1400*2000碳钢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21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母液地槽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3000L搪玻璃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22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原料中间槽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25立方碳钢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23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成品中间槽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25立方碳钢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24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蒸馏中间料槽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1400*2000碳钢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25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母液中间槽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2200*5500,碳钢20立方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26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冷凝器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1.5平方玻璃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27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冷凝器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3平方玻璃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28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塔顶冷凝器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1000*3000,碳钢100平方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29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塔外冷凝器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50平方，碳钢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30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塔外冷凝器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20平方，碳钢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26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7" w:hRule="atLeast"/>
                <w:jc w:val="center"/>
              </w:trPr>
              <w:tc>
                <w:tcPr>
                  <w:tcW w:w="661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/>
                    </w:rPr>
                    <w:t>31</w:t>
                  </w:r>
                </w:p>
              </w:tc>
              <w:tc>
                <w:tcPr>
                  <w:tcW w:w="157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加热器</w:t>
                  </w:r>
                </w:p>
              </w:tc>
              <w:tc>
                <w:tcPr>
                  <w:tcW w:w="2043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20立方碳钢</w:t>
                  </w:r>
                </w:p>
              </w:tc>
              <w:tc>
                <w:tcPr>
                  <w:tcW w:w="717" w:type="pct"/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18"/>
                      <w:szCs w:val="18"/>
                    </w:rPr>
                    <w:t>6</w:t>
                  </w:r>
                </w:p>
              </w:tc>
            </w:tr>
          </w:tbl>
          <w:p>
            <w:pPr>
              <w:spacing w:line="5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</w:tc>
      </w:tr>
    </w:tbl>
    <w:p>
      <w:pPr>
        <w:sectPr>
          <w:pgSz w:w="11906" w:h="16838"/>
          <w:pgMar w:top="1440" w:right="1800" w:bottom="1332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89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8" w:hRule="atLeast"/>
          <w:jc w:val="center"/>
        </w:trPr>
        <w:tc>
          <w:tcPr>
            <w:tcW w:w="89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污染防治措施及防治效果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1.污染物产生情况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1）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废卤化有机溶剂储罐呼吸尾气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（2）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工艺系统运行过程中产生的工艺废气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（3）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处置利用过程中产生的危险废物；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尾气治理设施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产生废活性炭。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污染防治措施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1）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罐区储罐呼吸尾气汇至车间尾气处置系统，由二级碱液喷淋吸收+活性炭吸附处置后，经尾气在线监控总排口达标排放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（2）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工艺废气由水封净化+二级碱液喷淋吸收+活性炭吸附处置后，经尾气在线监控总排口达标排放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（3）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处置利用过程中产生的危险废物贮存于专用危废仓库，委托有资质处置单位处置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尾气治理设施产生的废活性炭定期更换贮存于专用危废仓库，委托有资质处置单位处置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3.污染防治效果（监测数据）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ind w:firstLine="56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公司现处于正常生产阶段，根据检测方案进行检测各项数据均达标。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  <w:jc w:val="center"/>
        </w:trPr>
        <w:tc>
          <w:tcPr>
            <w:tcW w:w="89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预防和处理污染事故和其它突发性事件的方案和资金保障计划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废物分析的主要仪器、设备及分析项目</w:t>
            </w:r>
          </w:p>
          <w:tbl>
            <w:tblPr>
              <w:tblStyle w:val="5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70"/>
              <w:gridCol w:w="1703"/>
              <w:gridCol w:w="2022"/>
              <w:gridCol w:w="1296"/>
              <w:gridCol w:w="244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0" w:hRule="atLeast"/>
                <w:jc w:val="center"/>
              </w:trPr>
              <w:tc>
                <w:tcPr>
                  <w:tcW w:w="77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70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设备名称</w:t>
                  </w:r>
                </w:p>
              </w:tc>
              <w:tc>
                <w:tcPr>
                  <w:tcW w:w="20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规格型号</w:t>
                  </w:r>
                </w:p>
              </w:tc>
              <w:tc>
                <w:tcPr>
                  <w:tcW w:w="1296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数量</w:t>
                  </w:r>
                </w:p>
              </w:tc>
              <w:tc>
                <w:tcPr>
                  <w:tcW w:w="244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用途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4" w:hRule="atLeast"/>
                <w:jc w:val="center"/>
              </w:trPr>
              <w:tc>
                <w:tcPr>
                  <w:tcW w:w="77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70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气相色谱仪</w:t>
                  </w:r>
                </w:p>
              </w:tc>
              <w:tc>
                <w:tcPr>
                  <w:tcW w:w="20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GC-2060</w:t>
                  </w:r>
                </w:p>
              </w:tc>
              <w:tc>
                <w:tcPr>
                  <w:tcW w:w="1296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1</w:t>
                  </w:r>
                </w:p>
              </w:tc>
              <w:tc>
                <w:tcPr>
                  <w:tcW w:w="244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用于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含量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检测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7" w:hRule="atLeast"/>
                <w:jc w:val="center"/>
              </w:trPr>
              <w:tc>
                <w:tcPr>
                  <w:tcW w:w="77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70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气相色谱仪</w:t>
                  </w:r>
                </w:p>
              </w:tc>
              <w:tc>
                <w:tcPr>
                  <w:tcW w:w="20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GC-2060</w:t>
                  </w:r>
                </w:p>
              </w:tc>
              <w:tc>
                <w:tcPr>
                  <w:tcW w:w="1296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1</w:t>
                  </w:r>
                </w:p>
              </w:tc>
              <w:tc>
                <w:tcPr>
                  <w:tcW w:w="244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用于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含量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检测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0" w:hRule="atLeast"/>
                <w:jc w:val="center"/>
              </w:trPr>
              <w:tc>
                <w:tcPr>
                  <w:tcW w:w="77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70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气相色谱仪</w:t>
                  </w:r>
                </w:p>
              </w:tc>
              <w:tc>
                <w:tcPr>
                  <w:tcW w:w="20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GC-9790</w:t>
                  </w:r>
                </w:p>
              </w:tc>
              <w:tc>
                <w:tcPr>
                  <w:tcW w:w="1296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1</w:t>
                  </w:r>
                </w:p>
              </w:tc>
              <w:tc>
                <w:tcPr>
                  <w:tcW w:w="244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用于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含量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检测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  <w:jc w:val="center"/>
              </w:trPr>
              <w:tc>
                <w:tcPr>
                  <w:tcW w:w="770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70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气相色谱仪</w:t>
                  </w:r>
                </w:p>
              </w:tc>
              <w:tc>
                <w:tcPr>
                  <w:tcW w:w="2022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GC-8900</w:t>
                  </w:r>
                </w:p>
              </w:tc>
              <w:tc>
                <w:tcPr>
                  <w:tcW w:w="1296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1</w:t>
                  </w:r>
                </w:p>
              </w:tc>
              <w:tc>
                <w:tcPr>
                  <w:tcW w:w="2443" w:type="dxa"/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pacing w:line="30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用于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含量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检测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2.安全、保卫措施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ind w:firstLine="56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在厂区各区域设置安全警示标志，并安装了监控探头，制订了相应的《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环境保护管理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制度》、《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危险废物管理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制度》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等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3.内部检查监督管理措施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ind w:firstLine="56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制订了相应的《危险废物网上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申报登记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制度》、《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经营许可证制度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》、《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转移联单管理制度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》、《经营管理簿制度》、《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标识管理制度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》、《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管理计划制度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》等制度。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4.人员培训及持证上岗情况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ind w:firstLine="56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制订了相应的《环保培训制度》，并定期对员工进行环保知识的培训，要求持证上岗的岗位人员均具备相应资质。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5.意外突发事故应急措施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ind w:firstLine="56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制订了详细的《突发环境事件应急预案》并备案。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6.环境监测措施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ind w:firstLine="56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制订了环境检测方案并进行了备案，已与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南大环保科技服务南通有限公司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签订了环境检测协议。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7.发生意外突发事件，消除污染的资金保障措施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ind w:firstLine="56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设立环保突发事件专项保障资金，并投保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100万保额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环境责任险。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8" w:hRule="atLeast"/>
          <w:jc w:val="center"/>
        </w:trPr>
        <w:tc>
          <w:tcPr>
            <w:tcW w:w="89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周边环境简述及地理位置图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513070" cy="3997325"/>
                  <wp:effectExtent l="0" t="0" r="3810" b="10795"/>
                  <wp:docPr id="1" name="图片 4" descr="本公司地理位置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本公司地理位置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26" t="14134" r="20563" b="5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070" cy="399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476240" cy="3990340"/>
                  <wp:effectExtent l="0" t="0" r="10160" b="2540"/>
                  <wp:docPr id="76" name="图片 5" descr="周边5公里环境敏感目标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5" descr="周边5公里环境敏感目标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158" b="1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240" cy="399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8" w:hRule="atLeast"/>
          <w:jc w:val="center"/>
        </w:trPr>
        <w:tc>
          <w:tcPr>
            <w:tcW w:w="89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>厂区布局说明及平面布置图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557520" cy="7199630"/>
                  <wp:effectExtent l="0" t="0" r="5080" b="8890"/>
                  <wp:docPr id="77" name="图片 6" descr="厂区总平图带比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6" descr="厂区总平图带比例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972" t="4939" r="8713" b="5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520" cy="719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sectPr>
      <w:pgSz w:w="11906" w:h="16838"/>
      <w:pgMar w:top="670" w:right="1800" w:bottom="171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FAE2D1"/>
    <w:multiLevelType w:val="singleLevel"/>
    <w:tmpl w:val="BFFAE2D1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9BD4D23"/>
    <w:multiLevelType w:val="singleLevel"/>
    <w:tmpl w:val="09BD4D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97FE5ED"/>
    <w:multiLevelType w:val="singleLevel"/>
    <w:tmpl w:val="397FE5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8AFE76D"/>
    <w:multiLevelType w:val="singleLevel"/>
    <w:tmpl w:val="58AFE76D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AA92DD2"/>
    <w:multiLevelType w:val="multilevel"/>
    <w:tmpl w:val="6AA92DD2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17ECA"/>
    <w:rsid w:val="15E17ECA"/>
    <w:rsid w:val="2AFD45A5"/>
    <w:rsid w:val="6AB8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 w:afterLines="0"/>
    </w:pPr>
    <w:rPr>
      <w:rFonts w:ascii="Times New Roman" w:hAnsi="Times New Roman" w:cs="Times New Roman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84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2020-07-24T23:40:00Z</dcterms:created>
  <dc:creator>、H_静"</dc:creator>
  <cp:lastModifiedBy>、H_静"</cp:lastModifiedBy>
  <dcterms:modified xsi:type="dcterms:W3CDTF">2020-07-25T02:42:25Z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