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b/>
          <w:color w:val="000000"/>
          <w:sz w:val="44"/>
          <w:szCs w:val="44"/>
          <w:lang w:val="zh-CN"/>
        </w:rPr>
      </w:pPr>
    </w:p>
    <w:p>
      <w:pPr>
        <w:snapToGrid w:val="0"/>
        <w:jc w:val="center"/>
        <w:rPr>
          <w:color w:val="000000"/>
          <w:sz w:val="36"/>
        </w:rPr>
      </w:pPr>
    </w:p>
    <w:p>
      <w:pPr>
        <w:pStyle w:val="36"/>
        <w:snapToGrid w:val="0"/>
        <w:ind w:firstLine="420"/>
      </w:pPr>
    </w:p>
    <w:p>
      <w:pPr>
        <w:snapToGrid w:val="0"/>
        <w:spacing w:line="360" w:lineRule="auto"/>
        <w:jc w:val="center"/>
        <w:rPr>
          <w:rFonts w:eastAsia="黑体"/>
          <w:color w:val="000000"/>
          <w:w w:val="90"/>
          <w:kern w:val="0"/>
          <w:sz w:val="44"/>
          <w:szCs w:val="44"/>
        </w:rPr>
      </w:pPr>
      <w:r>
        <w:rPr>
          <w:rFonts w:eastAsia="黑体"/>
          <w:color w:val="000000"/>
          <w:w w:val="90"/>
          <w:kern w:val="0"/>
          <w:sz w:val="44"/>
          <w:szCs w:val="44"/>
        </w:rPr>
        <w:t>南通市生态环境综合行政执法局便携式高分辨率VOCs气体检测仪及无人机采购项目</w:t>
      </w:r>
    </w:p>
    <w:p>
      <w:pPr>
        <w:snapToGrid w:val="0"/>
        <w:spacing w:line="360" w:lineRule="auto"/>
        <w:jc w:val="center"/>
        <w:rPr>
          <w:rFonts w:eastAsia="黑体"/>
          <w:color w:val="000000"/>
          <w:w w:val="90"/>
          <w:kern w:val="0"/>
          <w:sz w:val="44"/>
          <w:szCs w:val="44"/>
        </w:rPr>
      </w:pPr>
    </w:p>
    <w:p>
      <w:pPr>
        <w:snapToGrid w:val="0"/>
        <w:jc w:val="center"/>
        <w:rPr>
          <w:color w:val="000000"/>
          <w:sz w:val="28"/>
        </w:rPr>
      </w:pPr>
    </w:p>
    <w:p>
      <w:pPr>
        <w:snapToGrid w:val="0"/>
        <w:jc w:val="center"/>
        <w:rPr>
          <w:color w:val="000000"/>
          <w:w w:val="150"/>
          <w:sz w:val="44"/>
          <w:szCs w:val="44"/>
        </w:rPr>
      </w:pPr>
      <w:r>
        <w:rPr>
          <w:color w:val="000000"/>
          <w:w w:val="150"/>
          <w:sz w:val="44"/>
          <w:szCs w:val="44"/>
        </w:rPr>
        <w:t>竞争性磋商文件</w:t>
      </w:r>
    </w:p>
    <w:p>
      <w:pPr>
        <w:snapToGrid w:val="0"/>
        <w:jc w:val="center"/>
        <w:rPr>
          <w:color w:val="000000"/>
          <w:sz w:val="30"/>
          <w:szCs w:val="30"/>
        </w:rPr>
      </w:pPr>
    </w:p>
    <w:p>
      <w:pPr>
        <w:snapToGrid w:val="0"/>
        <w:jc w:val="center"/>
        <w:rPr>
          <w:color w:val="000000"/>
          <w:sz w:val="30"/>
          <w:szCs w:val="30"/>
        </w:rPr>
      </w:pPr>
      <w:r>
        <w:rPr>
          <w:color w:val="000000"/>
          <w:sz w:val="30"/>
          <w:szCs w:val="30"/>
        </w:rPr>
        <w:t>项目编号：JSADTZC2021101G</w:t>
      </w: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jc w:val="center"/>
        <w:rPr>
          <w:color w:val="000000"/>
          <w:sz w:val="28"/>
        </w:rPr>
      </w:pPr>
    </w:p>
    <w:p>
      <w:pPr>
        <w:snapToGrid w:val="0"/>
        <w:spacing w:line="500" w:lineRule="exact"/>
        <w:jc w:val="center"/>
        <w:rPr>
          <w:rFonts w:eastAsia="仿宋_GB2312"/>
          <w:b/>
          <w:color w:val="000000"/>
          <w:sz w:val="36"/>
          <w:szCs w:val="36"/>
        </w:rPr>
      </w:pPr>
    </w:p>
    <w:p>
      <w:pPr>
        <w:pStyle w:val="36"/>
        <w:ind w:firstLine="420"/>
      </w:pPr>
    </w:p>
    <w:p>
      <w:pPr>
        <w:pStyle w:val="36"/>
        <w:ind w:firstLine="420"/>
      </w:pPr>
    </w:p>
    <w:p>
      <w:pPr>
        <w:pStyle w:val="36"/>
        <w:ind w:firstLine="420"/>
      </w:pPr>
    </w:p>
    <w:p>
      <w:pPr>
        <w:pStyle w:val="36"/>
        <w:ind w:firstLine="420"/>
      </w:pPr>
    </w:p>
    <w:p>
      <w:pPr>
        <w:pStyle w:val="36"/>
        <w:ind w:firstLine="420"/>
      </w:pPr>
    </w:p>
    <w:p>
      <w:pPr>
        <w:pStyle w:val="36"/>
        <w:snapToGrid w:val="0"/>
        <w:ind w:firstLine="420"/>
      </w:pPr>
    </w:p>
    <w:p>
      <w:pPr>
        <w:pStyle w:val="36"/>
        <w:snapToGrid w:val="0"/>
        <w:ind w:firstLine="420"/>
      </w:pPr>
    </w:p>
    <w:p>
      <w:pPr>
        <w:snapToGrid w:val="0"/>
        <w:spacing w:line="500" w:lineRule="exact"/>
        <w:jc w:val="center"/>
        <w:rPr>
          <w:color w:val="000000"/>
          <w:sz w:val="36"/>
          <w:szCs w:val="36"/>
        </w:rPr>
      </w:pPr>
      <w:r>
        <w:rPr>
          <w:color w:val="000000"/>
          <w:sz w:val="36"/>
          <w:szCs w:val="36"/>
          <w:lang w:val="zh-CN"/>
        </w:rPr>
        <w:t>二〇二一年九月</w:t>
      </w:r>
    </w:p>
    <w:p>
      <w:pPr>
        <w:adjustRightInd w:val="0"/>
        <w:snapToGrid w:val="0"/>
        <w:ind w:left="-158" w:leftChars="-75"/>
        <w:rPr>
          <w:b/>
          <w:snapToGrid w:val="0"/>
          <w:color w:val="000000"/>
          <w:sz w:val="26"/>
          <w:szCs w:val="28"/>
          <w:u w:val="single"/>
        </w:rPr>
      </w:pPr>
      <w:r>
        <w:rPr>
          <w:b/>
          <w:snapToGrid w:val="0"/>
          <w:color w:val="000000"/>
          <w:sz w:val="26"/>
          <w:szCs w:val="28"/>
          <w:u w:val="single"/>
        </w:rPr>
        <w:t xml:space="preserve">                                                                    </w:t>
      </w:r>
    </w:p>
    <w:p>
      <w:pPr>
        <w:adjustRightInd w:val="0"/>
        <w:snapToGrid w:val="0"/>
        <w:spacing w:line="360" w:lineRule="auto"/>
        <w:jc w:val="left"/>
        <w:rPr>
          <w:snapToGrid w:val="0"/>
          <w:sz w:val="26"/>
          <w:szCs w:val="28"/>
        </w:rPr>
      </w:pPr>
      <w:r>
        <w:rPr>
          <w:snapToGrid w:val="0"/>
          <w:sz w:val="26"/>
          <w:szCs w:val="28"/>
        </w:rPr>
        <w:t>地址：</w:t>
      </w:r>
      <w:r>
        <w:rPr>
          <w:bCs/>
          <w:sz w:val="24"/>
        </w:rPr>
        <w:t>南通市崇川区崇文路2号</w:t>
      </w:r>
    </w:p>
    <w:p>
      <w:pPr>
        <w:adjustRightInd w:val="0"/>
        <w:snapToGrid w:val="0"/>
        <w:spacing w:line="360" w:lineRule="auto"/>
        <w:jc w:val="left"/>
        <w:rPr>
          <w:snapToGrid w:val="0"/>
          <w:color w:val="000000"/>
          <w:sz w:val="26"/>
          <w:szCs w:val="28"/>
        </w:rPr>
        <w:sectPr>
          <w:pgSz w:w="11906" w:h="16838"/>
          <w:pgMar w:top="1440" w:right="1700" w:bottom="1440" w:left="1800" w:header="851" w:footer="992" w:gutter="0"/>
          <w:cols w:space="720" w:num="1"/>
          <w:docGrid w:type="lines" w:linePitch="312" w:charSpace="0"/>
        </w:sectPr>
      </w:pPr>
      <w:r>
        <w:rPr>
          <w:snapToGrid w:val="0"/>
          <w:color w:val="000000"/>
          <w:sz w:val="26"/>
          <w:szCs w:val="28"/>
        </w:rPr>
        <w:t>南通市生态环境局官网：http://sthjj.nantong.gov.cn/</w:t>
      </w:r>
    </w:p>
    <w:p>
      <w:pPr>
        <w:adjustRightInd w:val="0"/>
        <w:snapToGrid w:val="0"/>
        <w:spacing w:line="360" w:lineRule="auto"/>
        <w:ind w:left="-158" w:leftChars="-75" w:right="-601" w:rightChars="-286"/>
        <w:rPr>
          <w:snapToGrid w:val="0"/>
          <w:color w:val="000000"/>
          <w:sz w:val="26"/>
          <w:szCs w:val="26"/>
        </w:rPr>
      </w:pPr>
    </w:p>
    <w:p>
      <w:pPr>
        <w:snapToGrid w:val="0"/>
        <w:spacing w:line="500" w:lineRule="exact"/>
        <w:jc w:val="center"/>
        <w:rPr>
          <w:b/>
          <w:color w:val="000000"/>
          <w:w w:val="150"/>
          <w:sz w:val="38"/>
          <w:szCs w:val="38"/>
        </w:rPr>
      </w:pPr>
      <w:r>
        <w:rPr>
          <w:b/>
          <w:color w:val="000000"/>
          <w:w w:val="150"/>
          <w:sz w:val="38"/>
          <w:szCs w:val="38"/>
        </w:rPr>
        <w:t>目  录</w:t>
      </w:r>
    </w:p>
    <w:p>
      <w:pPr>
        <w:tabs>
          <w:tab w:val="left" w:pos="7740"/>
        </w:tabs>
        <w:snapToGrid w:val="0"/>
        <w:spacing w:line="360" w:lineRule="auto"/>
        <w:rPr>
          <w:snapToGrid w:val="0"/>
          <w:color w:val="000000"/>
          <w:sz w:val="26"/>
          <w:szCs w:val="26"/>
        </w:rPr>
      </w:pPr>
    </w:p>
    <w:p>
      <w:pPr>
        <w:tabs>
          <w:tab w:val="left" w:pos="7740"/>
        </w:tabs>
        <w:snapToGrid w:val="0"/>
        <w:spacing w:line="360" w:lineRule="auto"/>
        <w:rPr>
          <w:bCs/>
          <w:color w:val="000000"/>
          <w:sz w:val="32"/>
          <w:szCs w:val="32"/>
        </w:rPr>
      </w:pPr>
      <w:r>
        <w:rPr>
          <w:bCs/>
          <w:color w:val="000000"/>
          <w:sz w:val="32"/>
          <w:szCs w:val="32"/>
        </w:rPr>
        <w:t>第一部分  竞争性磋商公告</w:t>
      </w:r>
    </w:p>
    <w:p>
      <w:pPr>
        <w:tabs>
          <w:tab w:val="left" w:pos="7740"/>
        </w:tabs>
        <w:snapToGrid w:val="0"/>
        <w:spacing w:line="360" w:lineRule="auto"/>
        <w:rPr>
          <w:bCs/>
          <w:color w:val="000000"/>
          <w:sz w:val="32"/>
          <w:szCs w:val="32"/>
        </w:rPr>
      </w:pPr>
      <w:r>
        <w:rPr>
          <w:bCs/>
          <w:color w:val="000000"/>
          <w:sz w:val="32"/>
          <w:szCs w:val="32"/>
        </w:rPr>
        <w:t>第二部分  磋商须知</w:t>
      </w:r>
    </w:p>
    <w:p>
      <w:pPr>
        <w:tabs>
          <w:tab w:val="left" w:pos="7740"/>
        </w:tabs>
        <w:snapToGrid w:val="0"/>
        <w:spacing w:line="360" w:lineRule="auto"/>
        <w:rPr>
          <w:bCs/>
          <w:color w:val="000000"/>
          <w:sz w:val="32"/>
          <w:szCs w:val="32"/>
        </w:rPr>
      </w:pPr>
      <w:r>
        <w:rPr>
          <w:bCs/>
          <w:color w:val="000000"/>
          <w:sz w:val="32"/>
          <w:szCs w:val="32"/>
        </w:rPr>
        <w:t>第三部分  项目需求说明</w:t>
      </w:r>
    </w:p>
    <w:p>
      <w:pPr>
        <w:tabs>
          <w:tab w:val="left" w:pos="7740"/>
        </w:tabs>
        <w:snapToGrid w:val="0"/>
        <w:spacing w:line="360" w:lineRule="auto"/>
        <w:rPr>
          <w:bCs/>
          <w:color w:val="000000"/>
          <w:sz w:val="32"/>
          <w:szCs w:val="32"/>
        </w:rPr>
      </w:pPr>
      <w:r>
        <w:rPr>
          <w:bCs/>
          <w:color w:val="000000"/>
          <w:sz w:val="32"/>
          <w:szCs w:val="32"/>
        </w:rPr>
        <w:t>第四部分  磋商程序和内容</w:t>
      </w:r>
    </w:p>
    <w:p>
      <w:pPr>
        <w:tabs>
          <w:tab w:val="left" w:pos="7740"/>
        </w:tabs>
        <w:snapToGrid w:val="0"/>
        <w:spacing w:line="360" w:lineRule="auto"/>
        <w:rPr>
          <w:bCs/>
          <w:color w:val="000000"/>
          <w:sz w:val="32"/>
          <w:szCs w:val="32"/>
        </w:rPr>
      </w:pPr>
      <w:r>
        <w:rPr>
          <w:bCs/>
          <w:color w:val="000000"/>
          <w:sz w:val="32"/>
          <w:szCs w:val="32"/>
        </w:rPr>
        <w:t>第五部分  合同及履约保证</w:t>
      </w:r>
    </w:p>
    <w:p>
      <w:pPr>
        <w:tabs>
          <w:tab w:val="left" w:pos="7740"/>
        </w:tabs>
        <w:snapToGrid w:val="0"/>
        <w:spacing w:line="360" w:lineRule="auto"/>
        <w:rPr>
          <w:bCs/>
          <w:color w:val="000000"/>
          <w:sz w:val="32"/>
          <w:szCs w:val="32"/>
        </w:rPr>
      </w:pPr>
      <w:r>
        <w:rPr>
          <w:bCs/>
          <w:color w:val="000000"/>
          <w:sz w:val="32"/>
          <w:szCs w:val="32"/>
        </w:rPr>
        <w:t>第六部分  质疑提出和处理</w:t>
      </w:r>
    </w:p>
    <w:p>
      <w:pPr>
        <w:tabs>
          <w:tab w:val="left" w:pos="7740"/>
        </w:tabs>
        <w:snapToGrid w:val="0"/>
        <w:spacing w:line="360" w:lineRule="auto"/>
        <w:rPr>
          <w:bCs/>
          <w:color w:val="000000"/>
          <w:sz w:val="32"/>
          <w:szCs w:val="32"/>
        </w:rPr>
      </w:pPr>
      <w:r>
        <w:rPr>
          <w:bCs/>
          <w:color w:val="000000"/>
          <w:sz w:val="32"/>
          <w:szCs w:val="32"/>
        </w:rPr>
        <w:t>第七部分  响应文件组成</w:t>
      </w:r>
    </w:p>
    <w:p>
      <w:pPr>
        <w:tabs>
          <w:tab w:val="left" w:pos="7740"/>
        </w:tabs>
        <w:snapToGrid w:val="0"/>
        <w:spacing w:line="500" w:lineRule="exact"/>
        <w:rPr>
          <w:rFonts w:eastAsia="楷体_GB2312"/>
          <w:b/>
          <w:color w:val="000000"/>
          <w:spacing w:val="2"/>
          <w:sz w:val="32"/>
          <w:szCs w:val="32"/>
        </w:rPr>
      </w:pPr>
    </w:p>
    <w:p>
      <w:pPr>
        <w:snapToGrid w:val="0"/>
        <w:spacing w:line="500" w:lineRule="exact"/>
        <w:rPr>
          <w:color w:val="000000"/>
          <w:sz w:val="32"/>
          <w:szCs w:val="32"/>
        </w:rPr>
      </w:pPr>
    </w:p>
    <w:p>
      <w:pPr>
        <w:adjustRightInd w:val="0"/>
        <w:snapToGrid w:val="0"/>
        <w:ind w:left="-158" w:leftChars="-75" w:right="-601" w:rightChars="-286"/>
        <w:rPr>
          <w:rFonts w:eastAsia="仿宋_GB2312"/>
          <w:b/>
          <w:color w:val="000000"/>
          <w:sz w:val="48"/>
          <w:szCs w:val="48"/>
        </w:rPr>
      </w:pPr>
    </w:p>
    <w:p>
      <w:pPr>
        <w:snapToGrid w:val="0"/>
        <w:jc w:val="center"/>
        <w:rPr>
          <w:b/>
          <w:color w:val="000000"/>
          <w:sz w:val="36"/>
          <w:szCs w:val="36"/>
        </w:rPr>
        <w:sectPr>
          <w:footerReference r:id="rId3" w:type="default"/>
          <w:pgSz w:w="11906" w:h="16838"/>
          <w:pgMar w:top="1440" w:right="1700" w:bottom="1440" w:left="1800" w:header="851" w:footer="992" w:gutter="0"/>
          <w:cols w:space="720" w:num="1"/>
          <w:docGrid w:type="lines" w:linePitch="312" w:charSpace="0"/>
        </w:sectPr>
      </w:pPr>
    </w:p>
    <w:p>
      <w:pPr>
        <w:snapToGrid w:val="0"/>
        <w:jc w:val="center"/>
        <w:rPr>
          <w:b/>
          <w:color w:val="000000"/>
          <w:sz w:val="36"/>
          <w:szCs w:val="36"/>
        </w:rPr>
      </w:pPr>
      <w:r>
        <w:rPr>
          <w:b/>
          <w:color w:val="000000"/>
          <w:sz w:val="36"/>
          <w:szCs w:val="36"/>
        </w:rPr>
        <w:t>第一部分 竞争性磋商公告</w:t>
      </w:r>
    </w:p>
    <w:p>
      <w:pPr>
        <w:snapToGrid w:val="0"/>
        <w:spacing w:beforeLines="50"/>
        <w:jc w:val="center"/>
        <w:rPr>
          <w:rFonts w:eastAsia="黑体"/>
          <w:sz w:val="28"/>
          <w:szCs w:val="28"/>
        </w:rPr>
      </w:pPr>
      <w:bookmarkStart w:id="0" w:name="_Toc387526272"/>
      <w:bookmarkStart w:id="1" w:name="_Toc387526168"/>
      <w:bookmarkStart w:id="2" w:name="_Toc12939"/>
      <w:bookmarkStart w:id="3" w:name="_Toc387526364"/>
      <w:bookmarkStart w:id="4" w:name="OLE_LINK4"/>
      <w:bookmarkStart w:id="5" w:name="OLE_LINK2"/>
      <w:bookmarkStart w:id="6" w:name="OLE_LINK3"/>
      <w:bookmarkStart w:id="7" w:name="OLE_LINK6"/>
      <w:bookmarkStart w:id="8" w:name="OLE_LINK5"/>
      <w:bookmarkStart w:id="9" w:name="OLE_LINK7"/>
      <w:bookmarkStart w:id="10" w:name="OLE_LINK1"/>
      <w:bookmarkStart w:id="11" w:name="OLE_LINK8"/>
      <w:bookmarkStart w:id="25" w:name="_GoBack"/>
      <w:r>
        <w:rPr>
          <w:rFonts w:eastAsia="黑体"/>
          <w:sz w:val="28"/>
          <w:szCs w:val="28"/>
        </w:rPr>
        <w:t>南通市生态环境综合行政执法局便携式高分辨率VOCs气体检测仪及无人机采购项目竞争性磋商公告(资格后审)</w:t>
      </w:r>
    </w:p>
    <w:bookmarkEnd w:id="25"/>
    <w:p>
      <w:pPr>
        <w:snapToGrid w:val="0"/>
        <w:spacing w:line="360" w:lineRule="auto"/>
        <w:ind w:firstLine="480" w:firstLineChars="200"/>
        <w:jc w:val="left"/>
        <w:rPr>
          <w:sz w:val="24"/>
          <w:lang w:val="zh-CN"/>
        </w:rPr>
      </w:pPr>
      <w:r>
        <w:rPr>
          <w:sz w:val="24"/>
          <w:lang w:val="zh-CN"/>
        </w:rPr>
        <w:t>江苏爱德信工程项目管理有限公司受南通市生态环境综合行政执法局(下称采购人)委托，就</w:t>
      </w:r>
      <w:r>
        <w:rPr>
          <w:sz w:val="24"/>
        </w:rPr>
        <w:t>便携式高分辨率VOCs气体检测仪及无人机采购</w:t>
      </w:r>
      <w:r>
        <w:rPr>
          <w:sz w:val="24"/>
          <w:lang w:val="zh-CN"/>
        </w:rPr>
        <w:t>项目实施竞争性磋商方式组织采购，现公告如下：</w:t>
      </w:r>
    </w:p>
    <w:p>
      <w:pPr>
        <w:snapToGrid w:val="0"/>
        <w:spacing w:line="360" w:lineRule="auto"/>
        <w:ind w:firstLine="480" w:firstLineChars="200"/>
        <w:jc w:val="left"/>
        <w:rPr>
          <w:sz w:val="24"/>
        </w:rPr>
      </w:pPr>
      <w:r>
        <w:rPr>
          <w:sz w:val="24"/>
        </w:rPr>
        <w:t>一、项目基本情况</w:t>
      </w:r>
    </w:p>
    <w:p>
      <w:pPr>
        <w:snapToGrid w:val="0"/>
        <w:spacing w:line="360" w:lineRule="auto"/>
        <w:ind w:firstLine="480" w:firstLineChars="200"/>
        <w:jc w:val="left"/>
        <w:rPr>
          <w:sz w:val="24"/>
        </w:rPr>
      </w:pPr>
      <w:r>
        <w:rPr>
          <w:sz w:val="24"/>
        </w:rPr>
        <w:t xml:space="preserve">1、项目编号：JSADTZC2021101G </w:t>
      </w:r>
    </w:p>
    <w:p>
      <w:pPr>
        <w:snapToGrid w:val="0"/>
        <w:spacing w:line="360" w:lineRule="auto"/>
        <w:ind w:firstLine="480" w:firstLineChars="200"/>
        <w:jc w:val="left"/>
        <w:rPr>
          <w:sz w:val="24"/>
        </w:rPr>
      </w:pPr>
      <w:r>
        <w:rPr>
          <w:sz w:val="24"/>
        </w:rPr>
        <w:t>2、项目名称：南通市生态环境综合行政执法局便携式高分辨率VOCs气体检测仪及无人机采购项目</w:t>
      </w:r>
    </w:p>
    <w:p>
      <w:pPr>
        <w:snapToGrid w:val="0"/>
        <w:spacing w:line="360" w:lineRule="auto"/>
        <w:ind w:firstLine="480" w:firstLineChars="200"/>
        <w:jc w:val="left"/>
        <w:rPr>
          <w:sz w:val="24"/>
        </w:rPr>
      </w:pPr>
      <w:r>
        <w:rPr>
          <w:sz w:val="24"/>
        </w:rPr>
        <w:t>3、采购方式：竞争性磋商</w:t>
      </w:r>
    </w:p>
    <w:p>
      <w:pPr>
        <w:snapToGrid w:val="0"/>
        <w:spacing w:line="360" w:lineRule="auto"/>
        <w:ind w:firstLine="480" w:firstLineChars="200"/>
        <w:jc w:val="left"/>
        <w:rPr>
          <w:sz w:val="24"/>
        </w:rPr>
      </w:pPr>
      <w:r>
        <w:rPr>
          <w:sz w:val="24"/>
        </w:rPr>
        <w:t>4、预算金额：2</w:t>
      </w:r>
      <w:r>
        <w:rPr>
          <w:rFonts w:hint="eastAsia"/>
          <w:sz w:val="24"/>
        </w:rPr>
        <w:t>3</w:t>
      </w:r>
      <w:r>
        <w:rPr>
          <w:sz w:val="24"/>
        </w:rPr>
        <w:t>万元</w:t>
      </w:r>
      <w:bookmarkEnd w:id="0"/>
      <w:bookmarkEnd w:id="1"/>
      <w:bookmarkEnd w:id="2"/>
      <w:bookmarkEnd w:id="3"/>
      <w:bookmarkStart w:id="12" w:name="_Toc387526169"/>
      <w:bookmarkStart w:id="13" w:name="_Toc387526273"/>
      <w:bookmarkStart w:id="14" w:name="_Toc20597"/>
      <w:bookmarkStart w:id="15" w:name="_Toc387526365"/>
      <w:r>
        <w:rPr>
          <w:color w:val="000000"/>
          <w:sz w:val="24"/>
        </w:rPr>
        <w:t>，最终报价超过采购预算的为无效响应文件</w:t>
      </w:r>
      <w:r>
        <w:rPr>
          <w:sz w:val="24"/>
        </w:rPr>
        <w:t>。</w:t>
      </w:r>
    </w:p>
    <w:p>
      <w:pPr>
        <w:snapToGrid w:val="0"/>
        <w:spacing w:line="360" w:lineRule="auto"/>
        <w:ind w:firstLine="480" w:firstLineChars="200"/>
        <w:jc w:val="left"/>
        <w:rPr>
          <w:sz w:val="24"/>
        </w:rPr>
      </w:pPr>
      <w:r>
        <w:rPr>
          <w:sz w:val="24"/>
        </w:rPr>
        <w:t>5、采购需求：4</w:t>
      </w:r>
      <w:r>
        <w:rPr>
          <w:rFonts w:hAnsi="宋体"/>
          <w:sz w:val="24"/>
        </w:rPr>
        <w:t>台便携式高分辨率VOCs气体检测仪及</w:t>
      </w:r>
      <w:r>
        <w:rPr>
          <w:rFonts w:hint="eastAsia" w:hAnsi="宋体"/>
          <w:sz w:val="24"/>
        </w:rPr>
        <w:t>8台</w:t>
      </w:r>
      <w:r>
        <w:rPr>
          <w:rFonts w:hAnsi="宋体"/>
          <w:sz w:val="24"/>
        </w:rPr>
        <w:t>无人机</w:t>
      </w:r>
      <w:r>
        <w:rPr>
          <w:sz w:val="24"/>
        </w:rPr>
        <w:t>的采购等，详见磋商文件第三部分项目需求。</w:t>
      </w:r>
    </w:p>
    <w:p>
      <w:pPr>
        <w:snapToGrid w:val="0"/>
        <w:spacing w:line="360" w:lineRule="auto"/>
        <w:ind w:firstLine="480" w:firstLineChars="200"/>
        <w:jc w:val="left"/>
        <w:rPr>
          <w:sz w:val="24"/>
        </w:rPr>
      </w:pPr>
      <w:r>
        <w:rPr>
          <w:sz w:val="24"/>
        </w:rPr>
        <w:t>6、合同履行期限：</w:t>
      </w:r>
      <w:r>
        <w:rPr>
          <w:sz w:val="24"/>
          <w:highlight w:val="yellow"/>
        </w:rPr>
        <w:t>30个日历天</w:t>
      </w:r>
      <w:r>
        <w:rPr>
          <w:sz w:val="24"/>
          <w:szCs w:val="20"/>
          <w:highlight w:val="yellow"/>
        </w:rPr>
        <w:t>。</w:t>
      </w:r>
    </w:p>
    <w:p>
      <w:pPr>
        <w:snapToGrid w:val="0"/>
        <w:spacing w:line="360" w:lineRule="auto"/>
        <w:ind w:firstLine="480" w:firstLineChars="200"/>
        <w:jc w:val="left"/>
        <w:rPr>
          <w:sz w:val="24"/>
        </w:rPr>
      </w:pPr>
      <w:r>
        <w:rPr>
          <w:sz w:val="24"/>
        </w:rPr>
        <w:t>7、本项目不接受联合体。</w:t>
      </w:r>
    </w:p>
    <w:bookmarkEnd w:id="12"/>
    <w:bookmarkEnd w:id="13"/>
    <w:bookmarkEnd w:id="14"/>
    <w:bookmarkEnd w:id="15"/>
    <w:p>
      <w:pPr>
        <w:snapToGrid w:val="0"/>
        <w:spacing w:line="360" w:lineRule="auto"/>
        <w:ind w:firstLine="480" w:firstLineChars="200"/>
        <w:jc w:val="left"/>
        <w:rPr>
          <w:sz w:val="24"/>
        </w:rPr>
      </w:pPr>
      <w:r>
        <w:rPr>
          <w:sz w:val="24"/>
        </w:rPr>
        <w:t>二、申请人的资格要求：</w:t>
      </w:r>
    </w:p>
    <w:p>
      <w:pPr>
        <w:snapToGrid w:val="0"/>
        <w:spacing w:line="360" w:lineRule="auto"/>
        <w:ind w:firstLine="480" w:firstLineChars="200"/>
        <w:jc w:val="left"/>
        <w:rPr>
          <w:sz w:val="24"/>
        </w:rPr>
      </w:pPr>
      <w:r>
        <w:rPr>
          <w:sz w:val="24"/>
        </w:rPr>
        <w:t>1、满足《中华人民共和国政府采购法》第二十二条规定；</w:t>
      </w:r>
    </w:p>
    <w:p>
      <w:pPr>
        <w:snapToGrid w:val="0"/>
        <w:spacing w:line="360" w:lineRule="auto"/>
        <w:ind w:firstLine="480" w:firstLineChars="200"/>
        <w:jc w:val="left"/>
        <w:rPr>
          <w:sz w:val="24"/>
        </w:rPr>
      </w:pPr>
      <w:r>
        <w:rPr>
          <w:sz w:val="24"/>
        </w:rPr>
        <w:t>2、落实政府采购政策需满足的资格要求：具体详见磋商文件；</w:t>
      </w:r>
    </w:p>
    <w:p>
      <w:pPr>
        <w:snapToGrid w:val="0"/>
        <w:spacing w:line="360" w:lineRule="auto"/>
        <w:ind w:firstLine="480" w:firstLineChars="200"/>
        <w:jc w:val="left"/>
        <w:rPr>
          <w:sz w:val="24"/>
        </w:rPr>
      </w:pPr>
      <w:r>
        <w:rPr>
          <w:sz w:val="24"/>
        </w:rPr>
        <w:t>3、其他资格要求：</w:t>
      </w:r>
    </w:p>
    <w:p>
      <w:pPr>
        <w:snapToGrid w:val="0"/>
        <w:spacing w:line="360" w:lineRule="auto"/>
        <w:ind w:firstLine="480" w:firstLineChars="200"/>
        <w:jc w:val="left"/>
        <w:rPr>
          <w:sz w:val="24"/>
        </w:rPr>
      </w:pPr>
      <w:r>
        <w:rPr>
          <w:sz w:val="24"/>
        </w:rPr>
        <w:t>（1）未被“信用中国”网站列入失信被执行人、重大税收违法案件当事人名单，未被“中国政府采购网”（www.ccgp.gov.cn）政府采购不良行为记录名单；</w:t>
      </w:r>
    </w:p>
    <w:p>
      <w:pPr>
        <w:snapToGrid w:val="0"/>
        <w:spacing w:line="360" w:lineRule="auto"/>
        <w:ind w:firstLine="480" w:firstLineChars="200"/>
        <w:jc w:val="left"/>
        <w:rPr>
          <w:sz w:val="24"/>
        </w:rPr>
      </w:pPr>
      <w:r>
        <w:rPr>
          <w:sz w:val="24"/>
        </w:rPr>
        <w:t>（2）单位负责人为同一人或者存在直接控股、管理关系的不同供应商，不得同时参加同一合同项下的投标。</w:t>
      </w:r>
    </w:p>
    <w:p>
      <w:pPr>
        <w:snapToGrid w:val="0"/>
        <w:spacing w:line="360" w:lineRule="auto"/>
        <w:ind w:firstLine="480" w:firstLineChars="200"/>
        <w:jc w:val="left"/>
        <w:rPr>
          <w:sz w:val="24"/>
        </w:rPr>
      </w:pPr>
      <w:r>
        <w:rPr>
          <w:sz w:val="24"/>
        </w:rPr>
        <w:t>（3）</w:t>
      </w:r>
      <w:r>
        <w:rPr>
          <w:color w:val="000000"/>
          <w:sz w:val="24"/>
        </w:rPr>
        <w:t>成交供应商不得将本项目分包或者转让给其他主体实施。</w:t>
      </w:r>
    </w:p>
    <w:p>
      <w:pPr>
        <w:snapToGrid w:val="0"/>
        <w:spacing w:line="360" w:lineRule="auto"/>
        <w:ind w:firstLine="482" w:firstLineChars="200"/>
        <w:jc w:val="left"/>
        <w:rPr>
          <w:sz w:val="24"/>
        </w:rPr>
      </w:pPr>
      <w:r>
        <w:rPr>
          <w:b/>
          <w:sz w:val="24"/>
        </w:rPr>
        <w:t>三</w:t>
      </w:r>
      <w:r>
        <w:rPr>
          <w:sz w:val="24"/>
        </w:rPr>
        <w:t>、获取采购文件</w:t>
      </w:r>
    </w:p>
    <w:p>
      <w:pPr>
        <w:shd w:val="clear" w:color="auto" w:fill="FFFFFF"/>
        <w:snapToGrid w:val="0"/>
        <w:spacing w:line="360" w:lineRule="auto"/>
        <w:ind w:firstLine="480" w:firstLineChars="200"/>
        <w:rPr>
          <w:sz w:val="24"/>
        </w:rPr>
      </w:pPr>
      <w:bookmarkStart w:id="16" w:name="_Toc387526278"/>
      <w:bookmarkStart w:id="17" w:name="_Toc401557586"/>
      <w:bookmarkStart w:id="18" w:name="_Toc387526174"/>
      <w:bookmarkStart w:id="19" w:name="_Toc387526370"/>
      <w:bookmarkStart w:id="20" w:name="_Toc30068"/>
      <w:r>
        <w:rPr>
          <w:sz w:val="24"/>
        </w:rPr>
        <w:t>1、时间：</w:t>
      </w:r>
      <w:r>
        <w:rPr>
          <w:kern w:val="0"/>
          <w:sz w:val="24"/>
          <w:u w:val="single"/>
        </w:rPr>
        <w:t>自本磋商公告发布之日起</w:t>
      </w:r>
      <w:r>
        <w:rPr>
          <w:kern w:val="0"/>
          <w:sz w:val="24"/>
        </w:rPr>
        <w:t>。</w:t>
      </w:r>
    </w:p>
    <w:p>
      <w:pPr>
        <w:snapToGrid w:val="0"/>
        <w:spacing w:line="360" w:lineRule="auto"/>
        <w:ind w:firstLine="480" w:firstLineChars="200"/>
        <w:jc w:val="left"/>
        <w:rPr>
          <w:kern w:val="0"/>
          <w:sz w:val="24"/>
        </w:rPr>
      </w:pPr>
      <w:bookmarkStart w:id="21" w:name="_Toc387526369"/>
      <w:bookmarkStart w:id="22" w:name="_Toc387526173"/>
      <w:bookmarkStart w:id="23" w:name="_Toc387526277"/>
      <w:r>
        <w:rPr>
          <w:sz w:val="24"/>
        </w:rPr>
        <w:t>2、</w:t>
      </w:r>
      <w:r>
        <w:rPr>
          <w:kern w:val="0"/>
          <w:sz w:val="24"/>
        </w:rPr>
        <w:t>方式：</w:t>
      </w:r>
      <w:r>
        <w:rPr>
          <w:kern w:val="0"/>
          <w:sz w:val="24"/>
          <w:u w:val="single"/>
        </w:rPr>
        <w:t>本项目</w:t>
      </w:r>
      <w:r>
        <w:rPr>
          <w:sz w:val="24"/>
          <w:u w:val="single"/>
        </w:rPr>
        <w:t>资格审查采用资格后审方式，无报名环节，</w:t>
      </w:r>
      <w:r>
        <w:rPr>
          <w:color w:val="000000"/>
          <w:sz w:val="24"/>
          <w:u w:val="single"/>
        </w:rPr>
        <w:t>供应商直接从南通市生态环境局官网</w:t>
      </w:r>
      <w:r>
        <w:rPr>
          <w:rFonts w:hint="eastAsia"/>
          <w:color w:val="000000"/>
          <w:sz w:val="24"/>
          <w:u w:val="single"/>
          <w:lang w:eastAsia="zh-CN"/>
        </w:rPr>
        <w:t>“</w:t>
      </w:r>
      <w:r>
        <w:rPr>
          <w:rFonts w:hint="eastAsia"/>
          <w:color w:val="000000"/>
          <w:sz w:val="24"/>
          <w:u w:val="single"/>
          <w:lang w:val="en-US" w:eastAsia="zh-CN"/>
        </w:rPr>
        <w:t>首页-公告公示</w:t>
      </w:r>
      <w:r>
        <w:rPr>
          <w:color w:val="000000"/>
          <w:kern w:val="0"/>
          <w:sz w:val="24"/>
          <w:u w:val="single"/>
        </w:rPr>
        <w:t>”栏</w:t>
      </w:r>
      <w:r>
        <w:rPr>
          <w:kern w:val="0"/>
          <w:sz w:val="24"/>
        </w:rPr>
        <w:t>自行下载磋商文件、答疑等磋商资料。</w:t>
      </w:r>
      <w:bookmarkEnd w:id="21"/>
      <w:bookmarkEnd w:id="22"/>
      <w:bookmarkEnd w:id="23"/>
    </w:p>
    <w:p>
      <w:pPr>
        <w:snapToGrid w:val="0"/>
        <w:spacing w:line="360" w:lineRule="auto"/>
        <w:ind w:firstLine="480" w:firstLineChars="200"/>
        <w:jc w:val="left"/>
        <w:rPr>
          <w:sz w:val="24"/>
        </w:rPr>
      </w:pPr>
      <w:r>
        <w:rPr>
          <w:sz w:val="24"/>
        </w:rPr>
        <w:t>四、响应文</w:t>
      </w:r>
      <w:bookmarkEnd w:id="16"/>
      <w:bookmarkEnd w:id="17"/>
      <w:bookmarkEnd w:id="18"/>
      <w:bookmarkEnd w:id="19"/>
      <w:bookmarkEnd w:id="20"/>
      <w:r>
        <w:rPr>
          <w:sz w:val="24"/>
        </w:rPr>
        <w:t>件提交</w:t>
      </w:r>
    </w:p>
    <w:p>
      <w:pPr>
        <w:widowControl/>
        <w:snapToGrid w:val="0"/>
        <w:spacing w:line="360" w:lineRule="auto"/>
        <w:ind w:firstLine="480" w:firstLineChars="200"/>
        <w:jc w:val="left"/>
        <w:rPr>
          <w:b/>
          <w:color w:val="000000" w:themeColor="text1"/>
          <w:sz w:val="24"/>
          <w:u w:val="single"/>
        </w:rPr>
      </w:pPr>
      <w:r>
        <w:rPr>
          <w:color w:val="000000" w:themeColor="text1"/>
          <w:kern w:val="0"/>
          <w:sz w:val="24"/>
        </w:rPr>
        <w:t>1、截止时间：</w:t>
      </w:r>
      <w:r>
        <w:rPr>
          <w:b/>
          <w:color w:val="000000" w:themeColor="text1"/>
          <w:kern w:val="0"/>
          <w:sz w:val="24"/>
          <w:u w:val="single"/>
        </w:rPr>
        <w:t xml:space="preserve"> </w:t>
      </w:r>
      <w:r>
        <w:rPr>
          <w:b/>
          <w:color w:val="000000" w:themeColor="text1"/>
          <w:sz w:val="24"/>
          <w:u w:val="single"/>
        </w:rPr>
        <w:t>2021年</w:t>
      </w:r>
      <w:r>
        <w:rPr>
          <w:rFonts w:hint="eastAsia"/>
          <w:b/>
          <w:color w:val="000000" w:themeColor="text1"/>
          <w:sz w:val="24"/>
          <w:u w:val="single"/>
        </w:rPr>
        <w:t>09</w:t>
      </w:r>
      <w:r>
        <w:rPr>
          <w:b/>
          <w:color w:val="000000" w:themeColor="text1"/>
          <w:sz w:val="24"/>
          <w:u w:val="single"/>
        </w:rPr>
        <w:t>月</w:t>
      </w:r>
      <w:r>
        <w:rPr>
          <w:rFonts w:hint="eastAsia"/>
          <w:b/>
          <w:color w:val="000000" w:themeColor="text1"/>
          <w:sz w:val="24"/>
          <w:u w:val="single"/>
        </w:rPr>
        <w:t>28</w:t>
      </w:r>
      <w:r>
        <w:rPr>
          <w:b/>
          <w:color w:val="000000" w:themeColor="text1"/>
          <w:sz w:val="24"/>
          <w:u w:val="single"/>
        </w:rPr>
        <w:t>日</w:t>
      </w:r>
      <w:r>
        <w:rPr>
          <w:rFonts w:hint="eastAsia"/>
          <w:b/>
          <w:color w:val="000000" w:themeColor="text1"/>
          <w:sz w:val="24"/>
          <w:u w:val="single"/>
        </w:rPr>
        <w:t>15</w:t>
      </w:r>
      <w:r>
        <w:rPr>
          <w:b/>
          <w:color w:val="000000" w:themeColor="text1"/>
          <w:sz w:val="24"/>
          <w:u w:val="single"/>
        </w:rPr>
        <w:t>时</w:t>
      </w:r>
      <w:r>
        <w:rPr>
          <w:rFonts w:hint="eastAsia"/>
          <w:b/>
          <w:color w:val="000000" w:themeColor="text1"/>
          <w:sz w:val="24"/>
          <w:u w:val="single"/>
        </w:rPr>
        <w:t>30</w:t>
      </w:r>
      <w:r>
        <w:rPr>
          <w:b/>
          <w:color w:val="000000" w:themeColor="text1"/>
          <w:sz w:val="24"/>
          <w:u w:val="single"/>
        </w:rPr>
        <w:t>分</w:t>
      </w:r>
      <w:r>
        <w:rPr>
          <w:color w:val="000000" w:themeColor="text1"/>
          <w:sz w:val="24"/>
        </w:rPr>
        <w:t>；</w:t>
      </w:r>
    </w:p>
    <w:p>
      <w:pPr>
        <w:widowControl/>
        <w:snapToGrid w:val="0"/>
        <w:spacing w:line="360" w:lineRule="auto"/>
        <w:ind w:firstLine="480" w:firstLineChars="200"/>
        <w:jc w:val="left"/>
        <w:rPr>
          <w:color w:val="000000" w:themeColor="text1"/>
          <w:kern w:val="0"/>
          <w:sz w:val="24"/>
          <w:u w:val="single"/>
        </w:rPr>
      </w:pPr>
      <w:r>
        <w:rPr>
          <w:color w:val="000000" w:themeColor="text1"/>
          <w:kern w:val="0"/>
          <w:sz w:val="24"/>
        </w:rPr>
        <w:t>2、地点：</w:t>
      </w:r>
      <w:r>
        <w:rPr>
          <w:b/>
          <w:color w:val="000000" w:themeColor="text1"/>
          <w:sz w:val="24"/>
          <w:u w:val="single"/>
        </w:rPr>
        <w:t>南通市崇川区崇文路2号市图书馆21楼2115会议室</w:t>
      </w:r>
      <w:r>
        <w:rPr>
          <w:color w:val="000000" w:themeColor="text1"/>
          <w:sz w:val="24"/>
        </w:rPr>
        <w:t>；</w:t>
      </w:r>
    </w:p>
    <w:p>
      <w:pPr>
        <w:widowControl/>
        <w:snapToGrid w:val="0"/>
        <w:spacing w:line="360" w:lineRule="auto"/>
        <w:ind w:firstLine="480" w:firstLineChars="200"/>
        <w:jc w:val="left"/>
        <w:rPr>
          <w:color w:val="000000" w:themeColor="text1"/>
          <w:kern w:val="0"/>
          <w:sz w:val="24"/>
        </w:rPr>
      </w:pPr>
      <w:r>
        <w:rPr>
          <w:color w:val="000000" w:themeColor="text1"/>
          <w:kern w:val="0"/>
          <w:sz w:val="24"/>
        </w:rPr>
        <w:t>3、逾期送达或者未送达指定地点的响应文件，采购人不予受理。</w:t>
      </w:r>
    </w:p>
    <w:p>
      <w:pPr>
        <w:widowControl/>
        <w:snapToGrid w:val="0"/>
        <w:spacing w:line="360" w:lineRule="auto"/>
        <w:ind w:firstLine="482" w:firstLineChars="200"/>
        <w:jc w:val="left"/>
        <w:rPr>
          <w:b/>
          <w:color w:val="000000" w:themeColor="text1"/>
          <w:kern w:val="0"/>
          <w:sz w:val="24"/>
        </w:rPr>
      </w:pPr>
      <w:r>
        <w:rPr>
          <w:b/>
          <w:color w:val="000000" w:themeColor="text1"/>
          <w:kern w:val="0"/>
          <w:sz w:val="24"/>
        </w:rPr>
        <w:t>特别提醒：</w:t>
      </w:r>
      <w:r>
        <w:rPr>
          <w:color w:val="000000" w:themeColor="text1"/>
          <w:kern w:val="0"/>
          <w:sz w:val="24"/>
        </w:rPr>
        <w:t>在疫情防控期间严格执行登记问询制度，参加本项目投标的人员必须携带有效身份证件，规范佩戴口罩，接受实名登记，同时提供行程码、苏康码。来自或经停过中高风险地区所在设区市的“绿码”人员，另须提供48小时内有效核酸检测报告。行程码、苏康码必须显示绿色，核酸检测报告阴性方能参加开标。请自觉服从和配合现场工作人员调度安排，并在交易活动现场注意与他人保持安全距离、减少逗留时间。投标供应商须严格执行南通市疾病预防控制中心和新冠肺炎疫情防控指挥部有关疫情防控最新要求，做好疫情防控工作。</w:t>
      </w:r>
    </w:p>
    <w:p>
      <w:pPr>
        <w:snapToGrid w:val="0"/>
        <w:spacing w:line="360" w:lineRule="auto"/>
        <w:ind w:firstLine="480" w:firstLineChars="200"/>
        <w:jc w:val="left"/>
        <w:rPr>
          <w:color w:val="000000" w:themeColor="text1"/>
          <w:sz w:val="24"/>
        </w:rPr>
      </w:pPr>
      <w:r>
        <w:rPr>
          <w:color w:val="000000" w:themeColor="text1"/>
          <w:sz w:val="24"/>
        </w:rPr>
        <w:t>五、响应文件开启</w:t>
      </w:r>
    </w:p>
    <w:p>
      <w:pPr>
        <w:widowControl/>
        <w:snapToGrid w:val="0"/>
        <w:spacing w:line="360" w:lineRule="auto"/>
        <w:ind w:firstLine="480" w:firstLineChars="200"/>
        <w:jc w:val="left"/>
        <w:rPr>
          <w:color w:val="000000" w:themeColor="text1"/>
          <w:kern w:val="0"/>
          <w:sz w:val="24"/>
        </w:rPr>
      </w:pPr>
      <w:r>
        <w:rPr>
          <w:color w:val="000000" w:themeColor="text1"/>
          <w:kern w:val="0"/>
          <w:sz w:val="24"/>
        </w:rPr>
        <w:t>时间：</w:t>
      </w:r>
      <w:r>
        <w:rPr>
          <w:b/>
          <w:color w:val="000000" w:themeColor="text1"/>
          <w:sz w:val="24"/>
          <w:u w:val="single"/>
        </w:rPr>
        <w:t>2021年</w:t>
      </w:r>
      <w:r>
        <w:rPr>
          <w:rFonts w:hint="eastAsia"/>
          <w:b/>
          <w:color w:val="000000" w:themeColor="text1"/>
          <w:sz w:val="24"/>
          <w:u w:val="single"/>
        </w:rPr>
        <w:t>09</w:t>
      </w:r>
      <w:r>
        <w:rPr>
          <w:b/>
          <w:color w:val="000000" w:themeColor="text1"/>
          <w:sz w:val="24"/>
          <w:u w:val="single"/>
        </w:rPr>
        <w:t>月</w:t>
      </w:r>
      <w:r>
        <w:rPr>
          <w:rFonts w:hint="eastAsia"/>
          <w:b/>
          <w:color w:val="000000" w:themeColor="text1"/>
          <w:sz w:val="24"/>
          <w:u w:val="single"/>
        </w:rPr>
        <w:t>28</w:t>
      </w:r>
      <w:r>
        <w:rPr>
          <w:b/>
          <w:color w:val="000000" w:themeColor="text1"/>
          <w:sz w:val="24"/>
          <w:u w:val="single"/>
        </w:rPr>
        <w:t>日</w:t>
      </w:r>
      <w:r>
        <w:rPr>
          <w:rFonts w:hint="eastAsia"/>
          <w:b/>
          <w:color w:val="000000" w:themeColor="text1"/>
          <w:sz w:val="24"/>
          <w:u w:val="single"/>
        </w:rPr>
        <w:t>15</w:t>
      </w:r>
      <w:r>
        <w:rPr>
          <w:b/>
          <w:color w:val="000000" w:themeColor="text1"/>
          <w:sz w:val="24"/>
          <w:u w:val="single"/>
        </w:rPr>
        <w:t>时</w:t>
      </w:r>
      <w:r>
        <w:rPr>
          <w:rFonts w:hint="eastAsia"/>
          <w:b/>
          <w:color w:val="000000" w:themeColor="text1"/>
          <w:sz w:val="24"/>
          <w:u w:val="single"/>
        </w:rPr>
        <w:t>30</w:t>
      </w:r>
      <w:r>
        <w:rPr>
          <w:b/>
          <w:color w:val="000000" w:themeColor="text1"/>
          <w:sz w:val="24"/>
          <w:u w:val="single"/>
        </w:rPr>
        <w:t>分</w:t>
      </w:r>
      <w:r>
        <w:rPr>
          <w:color w:val="000000" w:themeColor="text1"/>
          <w:sz w:val="24"/>
        </w:rPr>
        <w:t>；</w:t>
      </w:r>
    </w:p>
    <w:p>
      <w:pPr>
        <w:snapToGrid w:val="0"/>
        <w:spacing w:line="360" w:lineRule="auto"/>
        <w:ind w:firstLine="480" w:firstLineChars="200"/>
        <w:jc w:val="left"/>
        <w:rPr>
          <w:color w:val="000000" w:themeColor="text1"/>
          <w:kern w:val="0"/>
          <w:sz w:val="24"/>
        </w:rPr>
      </w:pPr>
      <w:r>
        <w:rPr>
          <w:color w:val="000000" w:themeColor="text1"/>
          <w:kern w:val="0"/>
          <w:sz w:val="24"/>
          <w:szCs w:val="20"/>
        </w:rPr>
        <w:t>地点：</w:t>
      </w:r>
      <w:r>
        <w:rPr>
          <w:b/>
          <w:color w:val="000000" w:themeColor="text1"/>
          <w:sz w:val="24"/>
          <w:u w:val="single"/>
        </w:rPr>
        <w:t>南通市崇川区崇文路2号市图书馆21楼2115会议室</w:t>
      </w:r>
      <w:r>
        <w:rPr>
          <w:color w:val="000000" w:themeColor="text1"/>
          <w:sz w:val="24"/>
        </w:rPr>
        <w:t>；</w:t>
      </w:r>
    </w:p>
    <w:p>
      <w:pPr>
        <w:snapToGrid w:val="0"/>
        <w:spacing w:line="360" w:lineRule="auto"/>
        <w:ind w:firstLine="480" w:firstLineChars="200"/>
        <w:jc w:val="left"/>
        <w:rPr>
          <w:kern w:val="0"/>
          <w:sz w:val="24"/>
        </w:rPr>
      </w:pPr>
      <w:r>
        <w:rPr>
          <w:bCs/>
          <w:sz w:val="24"/>
        </w:rPr>
        <w:t>六、</w:t>
      </w:r>
      <w:r>
        <w:rPr>
          <w:kern w:val="0"/>
          <w:sz w:val="24"/>
        </w:rPr>
        <w:t>公告期限</w:t>
      </w:r>
    </w:p>
    <w:p>
      <w:pPr>
        <w:snapToGrid w:val="0"/>
        <w:spacing w:line="360" w:lineRule="auto"/>
        <w:ind w:firstLine="480" w:firstLineChars="200"/>
        <w:jc w:val="left"/>
        <w:rPr>
          <w:kern w:val="0"/>
          <w:sz w:val="24"/>
        </w:rPr>
      </w:pPr>
      <w:r>
        <w:rPr>
          <w:kern w:val="0"/>
          <w:sz w:val="24"/>
        </w:rPr>
        <w:t>自本公告发布之日起3个工作日。</w:t>
      </w:r>
    </w:p>
    <w:p>
      <w:pPr>
        <w:snapToGrid w:val="0"/>
        <w:spacing w:line="360" w:lineRule="auto"/>
        <w:ind w:firstLine="480" w:firstLineChars="200"/>
        <w:jc w:val="left"/>
        <w:rPr>
          <w:bCs/>
          <w:sz w:val="24"/>
        </w:rPr>
      </w:pPr>
      <w:r>
        <w:rPr>
          <w:bCs/>
          <w:sz w:val="24"/>
        </w:rPr>
        <w:t>七、其他补充事宜</w:t>
      </w:r>
    </w:p>
    <w:p>
      <w:pPr>
        <w:snapToGrid w:val="0"/>
        <w:spacing w:line="360" w:lineRule="auto"/>
        <w:ind w:firstLine="480" w:firstLineChars="200"/>
        <w:jc w:val="left"/>
        <w:rPr>
          <w:kern w:val="0"/>
          <w:sz w:val="24"/>
        </w:rPr>
      </w:pPr>
      <w:r>
        <w:rPr>
          <w:kern w:val="0"/>
          <w:sz w:val="24"/>
        </w:rPr>
        <w:t>竞争性磋商程序简介：磋商小组审查响应供应商资格，符合资格的供应商接受磋商小组的各轮磋商。磋商结束后要求所有实质性响应的供应商在规定时间内提交最后报价，磋商小组采用综合评分法对提交最后报价的供应商的响应文件和最后报价进行综合评分，响应文件满足磋商文件全部实质性要求且按评审因素的量化指标评审得分最高者，为成交供应商。</w:t>
      </w:r>
    </w:p>
    <w:p>
      <w:pPr>
        <w:snapToGrid w:val="0"/>
        <w:spacing w:line="360" w:lineRule="auto"/>
        <w:ind w:firstLine="480" w:firstLineChars="200"/>
        <w:jc w:val="left"/>
        <w:rPr>
          <w:kern w:val="0"/>
          <w:sz w:val="24"/>
        </w:rPr>
      </w:pPr>
      <w:r>
        <w:rPr>
          <w:kern w:val="0"/>
          <w:sz w:val="24"/>
        </w:rPr>
        <w:t>八、凡对本次采购提出询问，请按以下方式联系</w:t>
      </w:r>
    </w:p>
    <w:p>
      <w:pPr>
        <w:snapToGrid w:val="0"/>
        <w:spacing w:line="360" w:lineRule="auto"/>
        <w:ind w:firstLine="480" w:firstLineChars="200"/>
        <w:jc w:val="left"/>
        <w:rPr>
          <w:kern w:val="0"/>
          <w:sz w:val="24"/>
        </w:rPr>
      </w:pPr>
      <w:r>
        <w:rPr>
          <w:kern w:val="0"/>
          <w:sz w:val="24"/>
        </w:rPr>
        <w:t>1、采购人信息</w:t>
      </w:r>
    </w:p>
    <w:p>
      <w:pPr>
        <w:snapToGrid w:val="0"/>
        <w:spacing w:line="360" w:lineRule="auto"/>
        <w:ind w:firstLine="480" w:firstLineChars="200"/>
        <w:jc w:val="left"/>
        <w:rPr>
          <w:kern w:val="0"/>
          <w:sz w:val="24"/>
        </w:rPr>
      </w:pPr>
      <w:r>
        <w:rPr>
          <w:kern w:val="0"/>
          <w:sz w:val="24"/>
        </w:rPr>
        <w:t xml:space="preserve">名    称：南通市生态环境综合行政执法局 </w:t>
      </w:r>
    </w:p>
    <w:p>
      <w:pPr>
        <w:snapToGrid w:val="0"/>
        <w:spacing w:line="360" w:lineRule="auto"/>
        <w:ind w:firstLine="480" w:firstLineChars="200"/>
        <w:jc w:val="left"/>
        <w:rPr>
          <w:kern w:val="0"/>
          <w:sz w:val="24"/>
        </w:rPr>
      </w:pPr>
      <w:r>
        <w:rPr>
          <w:kern w:val="0"/>
          <w:sz w:val="24"/>
        </w:rPr>
        <w:t>地    址：南通市崇川区崇文路2号</w:t>
      </w:r>
    </w:p>
    <w:p>
      <w:pPr>
        <w:snapToGrid w:val="0"/>
        <w:spacing w:line="360" w:lineRule="auto"/>
        <w:ind w:firstLine="480" w:firstLineChars="200"/>
        <w:jc w:val="left"/>
        <w:rPr>
          <w:kern w:val="0"/>
          <w:sz w:val="24"/>
        </w:rPr>
      </w:pPr>
      <w:r>
        <w:rPr>
          <w:kern w:val="0"/>
          <w:sz w:val="24"/>
        </w:rPr>
        <w:t xml:space="preserve">联系方式：朱先生  </w:t>
      </w:r>
      <w:r>
        <w:rPr>
          <w:sz w:val="24"/>
        </w:rPr>
        <w:t>19952565011</w:t>
      </w:r>
    </w:p>
    <w:p>
      <w:pPr>
        <w:snapToGrid w:val="0"/>
        <w:spacing w:line="360" w:lineRule="auto"/>
        <w:ind w:firstLine="480" w:firstLineChars="200"/>
        <w:jc w:val="left"/>
        <w:rPr>
          <w:kern w:val="0"/>
          <w:sz w:val="24"/>
        </w:rPr>
      </w:pPr>
      <w:r>
        <w:rPr>
          <w:kern w:val="0"/>
          <w:sz w:val="24"/>
        </w:rPr>
        <w:t>2、采购代理机构信息</w:t>
      </w:r>
    </w:p>
    <w:p>
      <w:pPr>
        <w:snapToGrid w:val="0"/>
        <w:spacing w:line="360" w:lineRule="auto"/>
        <w:ind w:firstLine="480" w:firstLineChars="200"/>
        <w:jc w:val="left"/>
        <w:rPr>
          <w:kern w:val="0"/>
          <w:sz w:val="24"/>
        </w:rPr>
      </w:pPr>
      <w:r>
        <w:rPr>
          <w:kern w:val="0"/>
          <w:sz w:val="24"/>
        </w:rPr>
        <w:t>名    称：江苏爱德信工程项目管理有限公司</w:t>
      </w:r>
    </w:p>
    <w:p>
      <w:pPr>
        <w:snapToGrid w:val="0"/>
        <w:spacing w:line="360" w:lineRule="auto"/>
        <w:ind w:firstLine="480" w:firstLineChars="200"/>
        <w:jc w:val="left"/>
        <w:rPr>
          <w:kern w:val="0"/>
          <w:sz w:val="24"/>
        </w:rPr>
      </w:pPr>
      <w:r>
        <w:rPr>
          <w:kern w:val="0"/>
          <w:sz w:val="24"/>
        </w:rPr>
        <w:t>地    址：南通市人民中路95号纺织大厦14楼</w:t>
      </w:r>
    </w:p>
    <w:p>
      <w:pPr>
        <w:snapToGrid w:val="0"/>
        <w:spacing w:line="360" w:lineRule="auto"/>
        <w:ind w:firstLine="480" w:firstLineChars="200"/>
        <w:jc w:val="left"/>
        <w:rPr>
          <w:kern w:val="0"/>
          <w:sz w:val="24"/>
        </w:rPr>
      </w:pPr>
      <w:r>
        <w:rPr>
          <w:kern w:val="0"/>
          <w:sz w:val="24"/>
        </w:rPr>
        <w:t>联系方式：范小莹  0513-80901552，18912292712；</w:t>
      </w:r>
    </w:p>
    <w:p>
      <w:pPr>
        <w:snapToGrid w:val="0"/>
        <w:spacing w:line="360" w:lineRule="auto"/>
        <w:ind w:firstLine="480" w:firstLineChars="200"/>
        <w:jc w:val="left"/>
        <w:rPr>
          <w:kern w:val="0"/>
          <w:sz w:val="24"/>
        </w:rPr>
      </w:pPr>
      <w:r>
        <w:rPr>
          <w:kern w:val="0"/>
          <w:sz w:val="24"/>
        </w:rPr>
        <w:t>电子邮箱：164746958@qq.com</w:t>
      </w:r>
      <w:bookmarkEnd w:id="4"/>
      <w:bookmarkEnd w:id="5"/>
      <w:bookmarkEnd w:id="6"/>
      <w:bookmarkEnd w:id="7"/>
      <w:bookmarkEnd w:id="8"/>
      <w:bookmarkEnd w:id="9"/>
      <w:bookmarkEnd w:id="10"/>
    </w:p>
    <w:bookmarkEnd w:id="11"/>
    <w:p>
      <w:pPr>
        <w:snapToGrid w:val="0"/>
        <w:spacing w:line="360" w:lineRule="auto"/>
        <w:jc w:val="center"/>
        <w:rPr>
          <w:b/>
          <w:color w:val="000000"/>
          <w:sz w:val="36"/>
          <w:szCs w:val="36"/>
        </w:rPr>
      </w:pPr>
      <w:r>
        <w:rPr>
          <w:b/>
          <w:color w:val="000000"/>
          <w:sz w:val="36"/>
          <w:szCs w:val="36"/>
        </w:rPr>
        <w:br w:type="page"/>
      </w:r>
      <w:r>
        <w:rPr>
          <w:b/>
          <w:color w:val="000000"/>
          <w:sz w:val="36"/>
          <w:szCs w:val="36"/>
        </w:rPr>
        <w:t>第二部分  磋商须知</w:t>
      </w:r>
    </w:p>
    <w:p>
      <w:pPr>
        <w:snapToGrid w:val="0"/>
        <w:spacing w:line="360" w:lineRule="auto"/>
        <w:ind w:firstLine="482" w:firstLineChars="200"/>
        <w:jc w:val="left"/>
        <w:rPr>
          <w:color w:val="000000"/>
          <w:sz w:val="24"/>
        </w:rPr>
      </w:pPr>
      <w:r>
        <w:rPr>
          <w:b/>
          <w:color w:val="000000"/>
          <w:sz w:val="24"/>
        </w:rPr>
        <w:t>一、磋商文件由采购人解释</w:t>
      </w:r>
    </w:p>
    <w:p>
      <w:pPr>
        <w:snapToGrid w:val="0"/>
        <w:spacing w:line="360" w:lineRule="auto"/>
        <w:ind w:firstLine="480" w:firstLineChars="200"/>
        <w:jc w:val="left"/>
        <w:rPr>
          <w:b/>
          <w:color w:val="000000"/>
          <w:sz w:val="24"/>
        </w:rPr>
      </w:pPr>
      <w:r>
        <w:rPr>
          <w:color w:val="000000"/>
          <w:sz w:val="24"/>
        </w:rPr>
        <w:t>1、供应商下载获取磋商文件后，应仔细检查磋商文件的所有内容，如有内容或页码残缺、资格要求和技术参数含有倾向性或排他性等表述的，应以书面形式提出询问或疑问。否则，视同供应商理解并接受本磋商文件所有内容，并由此引起的投标损失自负。供应商不得在磋商结束后针对磋商文件所有内容提出质疑事项。</w:t>
      </w:r>
      <w:r>
        <w:rPr>
          <w:b/>
          <w:color w:val="000000"/>
          <w:sz w:val="24"/>
        </w:rPr>
        <w:t>非书面形式的不作为日后质疑提出的依据。</w:t>
      </w:r>
    </w:p>
    <w:p>
      <w:pPr>
        <w:snapToGrid w:val="0"/>
        <w:spacing w:line="360" w:lineRule="auto"/>
        <w:ind w:firstLine="480" w:firstLineChars="200"/>
        <w:jc w:val="left"/>
        <w:rPr>
          <w:color w:val="000000"/>
          <w:sz w:val="24"/>
        </w:rPr>
      </w:pPr>
      <w:r>
        <w:rPr>
          <w:color w:val="000000"/>
          <w:sz w:val="24"/>
        </w:rPr>
        <w:t>2、供应商应认真审阅磋商文件中所有的事项、格式、条款和规范要求等，如果供应商没有按照磋商文件要求提交响应文件，或者响应文件没有对磋商文件做出实质性响应，其投标将被拒绝，供应商自行承担责任。</w:t>
      </w:r>
    </w:p>
    <w:p>
      <w:pPr>
        <w:snapToGrid w:val="0"/>
        <w:spacing w:line="360" w:lineRule="auto"/>
        <w:ind w:firstLine="482" w:firstLineChars="200"/>
        <w:jc w:val="left"/>
        <w:rPr>
          <w:b/>
          <w:color w:val="000000"/>
          <w:sz w:val="24"/>
        </w:rPr>
      </w:pPr>
      <w:r>
        <w:rPr>
          <w:b/>
          <w:color w:val="000000"/>
          <w:sz w:val="24"/>
        </w:rPr>
        <w:t>二、磋商文件的澄清、修改、答疑</w:t>
      </w:r>
    </w:p>
    <w:p>
      <w:pPr>
        <w:pStyle w:val="19"/>
        <w:snapToGrid w:val="0"/>
        <w:spacing w:after="0" w:line="360" w:lineRule="auto"/>
        <w:ind w:left="0" w:leftChars="0" w:firstLine="480" w:firstLineChars="200"/>
        <w:jc w:val="left"/>
        <w:rPr>
          <w:color w:val="000000"/>
          <w:sz w:val="24"/>
        </w:rPr>
      </w:pPr>
      <w:r>
        <w:rPr>
          <w:color w:val="000000"/>
          <w:sz w:val="24"/>
        </w:rPr>
        <w:t>1、采购人有权对发出的磋商文件进行必要的补充说明、澄清或修改。</w:t>
      </w:r>
    </w:p>
    <w:p>
      <w:pPr>
        <w:pStyle w:val="19"/>
        <w:snapToGrid w:val="0"/>
        <w:spacing w:after="0" w:line="360" w:lineRule="auto"/>
        <w:ind w:left="0" w:leftChars="0" w:firstLine="480" w:firstLineChars="200"/>
        <w:jc w:val="left"/>
        <w:rPr>
          <w:color w:val="000000"/>
          <w:sz w:val="24"/>
        </w:rPr>
      </w:pPr>
      <w:r>
        <w:rPr>
          <w:color w:val="000000"/>
          <w:sz w:val="24"/>
        </w:rPr>
        <w:t>2、凡涉及磋商文件的补充说明、澄清或修改，均以南通市生态环境局官网发布的信息为准。</w:t>
      </w:r>
    </w:p>
    <w:p>
      <w:pPr>
        <w:pStyle w:val="19"/>
        <w:snapToGrid w:val="0"/>
        <w:spacing w:after="0" w:line="360" w:lineRule="auto"/>
        <w:ind w:left="0" w:leftChars="0" w:firstLine="480" w:firstLineChars="200"/>
        <w:jc w:val="left"/>
        <w:rPr>
          <w:color w:val="000000"/>
          <w:sz w:val="24"/>
        </w:rPr>
      </w:pPr>
      <w:r>
        <w:rPr>
          <w:color w:val="000000"/>
          <w:sz w:val="24"/>
        </w:rPr>
        <w:t>3、采购人对磋商文件的补充说明、澄清或修改，将构成本项目磋商文件的一部分，对响应供应商具有约束力。</w:t>
      </w:r>
    </w:p>
    <w:p>
      <w:pPr>
        <w:pStyle w:val="19"/>
        <w:snapToGrid w:val="0"/>
        <w:spacing w:after="0" w:line="360" w:lineRule="auto"/>
        <w:ind w:left="0" w:leftChars="0" w:firstLine="480" w:firstLineChars="200"/>
        <w:jc w:val="left"/>
        <w:rPr>
          <w:color w:val="000000"/>
          <w:sz w:val="24"/>
        </w:rPr>
      </w:pPr>
      <w:r>
        <w:rPr>
          <w:color w:val="000000"/>
          <w:sz w:val="24"/>
        </w:rPr>
        <w:t>4、补充说明、澄清或修改的内容可能影响到响应文件编制的，代理机构将在首次提交磋商响应文件截止日5天前，发布补充说明、澄清或修改公告。不足5日的，应当顺延首次提交磋商响应文件截止之日。</w:t>
      </w:r>
    </w:p>
    <w:p>
      <w:pPr>
        <w:pStyle w:val="19"/>
        <w:snapToGrid w:val="0"/>
        <w:spacing w:after="0" w:line="360" w:lineRule="auto"/>
        <w:ind w:left="0" w:leftChars="0" w:firstLine="480" w:firstLineChars="200"/>
        <w:jc w:val="left"/>
        <w:rPr>
          <w:color w:val="000000"/>
          <w:sz w:val="24"/>
        </w:rPr>
      </w:pPr>
      <w:r>
        <w:rPr>
          <w:color w:val="000000"/>
          <w:sz w:val="24"/>
        </w:rPr>
        <w:t>5、除非代理机构以书面、公告的形式对磋商文件作出澄清、修改、补充，供应商对涉及磋商文件的任何推论、理解和结论所造成的结果，均由供应商自负。</w:t>
      </w:r>
    </w:p>
    <w:p>
      <w:pPr>
        <w:pStyle w:val="19"/>
        <w:snapToGrid w:val="0"/>
        <w:spacing w:after="0" w:line="360" w:lineRule="auto"/>
        <w:ind w:left="0" w:leftChars="0" w:firstLine="480" w:firstLineChars="200"/>
        <w:jc w:val="left"/>
        <w:rPr>
          <w:color w:val="000000"/>
          <w:sz w:val="24"/>
        </w:rPr>
      </w:pPr>
      <w:r>
        <w:rPr>
          <w:color w:val="000000"/>
          <w:sz w:val="24"/>
        </w:rPr>
        <w:t>6、采购人视情组织答疑会。如有产生答疑且对磋商文件内容有修改，代理机构将按照本须知有关规定，以补充通知（公告）的方式发出。</w:t>
      </w:r>
    </w:p>
    <w:p>
      <w:pPr>
        <w:snapToGrid w:val="0"/>
        <w:spacing w:line="360" w:lineRule="auto"/>
        <w:ind w:firstLine="482" w:firstLineChars="200"/>
        <w:jc w:val="left"/>
        <w:rPr>
          <w:b/>
          <w:color w:val="000000"/>
          <w:sz w:val="24"/>
        </w:rPr>
      </w:pPr>
      <w:r>
        <w:rPr>
          <w:b/>
          <w:color w:val="000000"/>
          <w:sz w:val="24"/>
        </w:rPr>
        <w:t>三、磋商报价</w:t>
      </w:r>
    </w:p>
    <w:p>
      <w:pPr>
        <w:pStyle w:val="19"/>
        <w:snapToGrid w:val="0"/>
        <w:spacing w:after="0" w:line="360" w:lineRule="auto"/>
        <w:ind w:left="0" w:leftChars="0" w:firstLine="480" w:firstLineChars="200"/>
        <w:jc w:val="left"/>
        <w:rPr>
          <w:color w:val="000000"/>
          <w:sz w:val="24"/>
        </w:rPr>
      </w:pPr>
      <w:r>
        <w:rPr>
          <w:color w:val="000000"/>
          <w:sz w:val="24"/>
        </w:rPr>
        <w:t>1、磋商结束后，供应商就所有内容进行最后报价。</w:t>
      </w:r>
    </w:p>
    <w:p>
      <w:pPr>
        <w:pStyle w:val="19"/>
        <w:snapToGrid w:val="0"/>
        <w:spacing w:after="0" w:line="360" w:lineRule="auto"/>
        <w:ind w:left="0" w:leftChars="0" w:firstLine="480" w:firstLineChars="200"/>
        <w:jc w:val="left"/>
        <w:rPr>
          <w:color w:val="000000"/>
          <w:sz w:val="24"/>
        </w:rPr>
      </w:pPr>
      <w:r>
        <w:rPr>
          <w:color w:val="000000"/>
          <w:sz w:val="24"/>
        </w:rPr>
        <w:t>2、本项目不接受任何有选择的报价。</w:t>
      </w:r>
    </w:p>
    <w:p>
      <w:pPr>
        <w:pStyle w:val="19"/>
        <w:snapToGrid w:val="0"/>
        <w:spacing w:after="0" w:line="360" w:lineRule="auto"/>
        <w:ind w:left="0" w:leftChars="0" w:firstLine="480" w:firstLineChars="200"/>
        <w:jc w:val="left"/>
        <w:rPr>
          <w:color w:val="000000"/>
          <w:sz w:val="24"/>
        </w:rPr>
      </w:pPr>
      <w:r>
        <w:rPr>
          <w:color w:val="000000"/>
          <w:sz w:val="24"/>
        </w:rPr>
        <w:t>3、磋商报价均以人民币为报价的币种。</w:t>
      </w:r>
    </w:p>
    <w:p>
      <w:pPr>
        <w:pStyle w:val="19"/>
        <w:snapToGrid w:val="0"/>
        <w:spacing w:after="0" w:line="360" w:lineRule="auto"/>
        <w:ind w:left="0" w:leftChars="0" w:firstLine="480" w:firstLineChars="200"/>
        <w:jc w:val="left"/>
        <w:rPr>
          <w:color w:val="000000"/>
          <w:sz w:val="24"/>
        </w:rPr>
      </w:pPr>
      <w:r>
        <w:rPr>
          <w:color w:val="000000"/>
          <w:sz w:val="24"/>
        </w:rPr>
        <w:t>4、磋商报价表必须加盖公章且必须经法定代表人或被授权人签字或盖章。</w:t>
      </w:r>
    </w:p>
    <w:p>
      <w:pPr>
        <w:pStyle w:val="19"/>
        <w:snapToGrid w:val="0"/>
        <w:spacing w:after="0" w:line="360" w:lineRule="auto"/>
        <w:ind w:left="0" w:leftChars="0" w:firstLine="480" w:firstLineChars="200"/>
        <w:jc w:val="left"/>
        <w:rPr>
          <w:color w:val="000000"/>
          <w:sz w:val="24"/>
        </w:rPr>
      </w:pPr>
      <w:r>
        <w:rPr>
          <w:color w:val="000000"/>
          <w:sz w:val="24"/>
        </w:rPr>
        <w:t>5、最后报价应包括响应本项目</w:t>
      </w:r>
      <w:r>
        <w:rPr>
          <w:bCs/>
          <w:sz w:val="24"/>
        </w:rPr>
        <w:t>采购要求</w:t>
      </w:r>
      <w:r>
        <w:rPr>
          <w:sz w:val="24"/>
        </w:rPr>
        <w:t>的全部费用，包括</w:t>
      </w:r>
      <w:r>
        <w:rPr>
          <w:color w:val="000000"/>
          <w:sz w:val="24"/>
        </w:rPr>
        <w:t>所有设备、配套设施、各类辅助材料、包装、仓储、运输、保险、安装、调试、集成、保修期内备品备件、专用工具、伴随服务、人员培训，以及验收合格之前发生的所有含税费用。</w:t>
      </w:r>
      <w:r>
        <w:rPr>
          <w:bCs/>
          <w:sz w:val="24"/>
        </w:rPr>
        <w:t>即为完成本项目供货及响应磋商文件采购要求所发生的全部费用</w:t>
      </w:r>
      <w:r>
        <w:rPr>
          <w:sz w:val="24"/>
        </w:rPr>
        <w:t>，采购人不另行支付其它任何费用。</w:t>
      </w:r>
    </w:p>
    <w:p>
      <w:pPr>
        <w:snapToGrid w:val="0"/>
        <w:spacing w:line="360" w:lineRule="auto"/>
        <w:ind w:firstLine="482" w:firstLineChars="200"/>
        <w:jc w:val="left"/>
        <w:rPr>
          <w:b/>
          <w:color w:val="000000"/>
          <w:sz w:val="24"/>
        </w:rPr>
      </w:pPr>
      <w:r>
        <w:rPr>
          <w:b/>
          <w:color w:val="000000"/>
          <w:sz w:val="24"/>
        </w:rPr>
        <w:t>四、响应文件的编写、份数和签署</w:t>
      </w:r>
    </w:p>
    <w:p>
      <w:pPr>
        <w:snapToGrid w:val="0"/>
        <w:spacing w:line="360" w:lineRule="auto"/>
        <w:ind w:firstLine="480" w:firstLineChars="200"/>
        <w:jc w:val="left"/>
        <w:rPr>
          <w:color w:val="000000"/>
          <w:sz w:val="24"/>
        </w:rPr>
      </w:pPr>
      <w:r>
        <w:rPr>
          <w:color w:val="000000"/>
          <w:sz w:val="24"/>
        </w:rPr>
        <w:t>1、供应商按第七部分“响应文件组成”编写响应文件，</w:t>
      </w:r>
      <w:r>
        <w:rPr>
          <w:color w:val="000000"/>
          <w:kern w:val="0"/>
          <w:sz w:val="24"/>
          <w:lang w:val="zh-CN"/>
        </w:rPr>
        <w:t>响应文件规格幅面</w:t>
      </w:r>
      <w:r>
        <w:rPr>
          <w:color w:val="000000"/>
          <w:sz w:val="24"/>
        </w:rPr>
        <w:t>A4纸（图纸等除外），</w:t>
      </w:r>
      <w:r>
        <w:rPr>
          <w:color w:val="000000"/>
          <w:kern w:val="0"/>
          <w:sz w:val="24"/>
          <w:lang w:val="zh-CN"/>
        </w:rPr>
        <w:t>按照磋商文件所规定的内容顺序，统一编目、编页码装订（响应文件中复印件及彩色宣传资料等均须与响应文件正文一起逐页编排页码）。由于编排混乱导致响应文件被误读或查找不到，其责任应当由供应商承担。</w:t>
      </w:r>
      <w:r>
        <w:rPr>
          <w:color w:val="000000"/>
          <w:sz w:val="24"/>
        </w:rPr>
        <w:t>不得将内容拆开投标，并牢固装订成册（如文件较多，可分册装订）。响应文件不得行间插字、涂改、增删，如修补错漏处，须经响应文件签署人签字并加盖公章。</w:t>
      </w:r>
    </w:p>
    <w:p>
      <w:pPr>
        <w:snapToGrid w:val="0"/>
        <w:spacing w:line="360" w:lineRule="auto"/>
        <w:ind w:firstLine="480" w:firstLineChars="200"/>
        <w:jc w:val="left"/>
        <w:rPr>
          <w:color w:val="000000"/>
          <w:sz w:val="24"/>
        </w:rPr>
      </w:pPr>
      <w:r>
        <w:rPr>
          <w:color w:val="000000"/>
          <w:sz w:val="24"/>
        </w:rPr>
        <w:t>2、响应文件的资格审查资料、技术商务响应文件、价格响应文件均为</w:t>
      </w:r>
      <w:r>
        <w:rPr>
          <w:color w:val="000000"/>
          <w:sz w:val="24"/>
          <w:lang w:val="zh-CN"/>
        </w:rPr>
        <w:t>一</w:t>
      </w:r>
      <w:r>
        <w:rPr>
          <w:color w:val="000000"/>
          <w:sz w:val="24"/>
        </w:rPr>
        <w:t>份正本和二份副本，并明确标注</w:t>
      </w:r>
      <w:r>
        <w:rPr>
          <w:color w:val="000000"/>
          <w:sz w:val="24"/>
          <w:lang w:val="zh-CN"/>
        </w:rPr>
        <w:t>供应商全称、</w:t>
      </w:r>
      <w:r>
        <w:rPr>
          <w:color w:val="000000"/>
          <w:sz w:val="24"/>
        </w:rPr>
        <w:t>“正本”、“副本”字样。</w:t>
      </w:r>
    </w:p>
    <w:p>
      <w:pPr>
        <w:snapToGrid w:val="0"/>
        <w:spacing w:line="360" w:lineRule="auto"/>
        <w:ind w:firstLine="480" w:firstLineChars="200"/>
        <w:jc w:val="left"/>
        <w:rPr>
          <w:color w:val="000000"/>
          <w:sz w:val="24"/>
        </w:rPr>
      </w:pPr>
      <w:r>
        <w:rPr>
          <w:color w:val="000000"/>
          <w:sz w:val="24"/>
        </w:rPr>
        <w:t>3、响应文件正本须打印并由供应商法定代表人或授权人签字</w:t>
      </w:r>
      <w:r>
        <w:rPr>
          <w:sz w:val="24"/>
        </w:rPr>
        <w:t>（或盖章）</w:t>
      </w:r>
      <w:r>
        <w:rPr>
          <w:color w:val="000000"/>
          <w:sz w:val="24"/>
        </w:rPr>
        <w:t>并加盖单位</w:t>
      </w:r>
      <w:r>
        <w:rPr>
          <w:sz w:val="24"/>
        </w:rPr>
        <w:t>公</w:t>
      </w:r>
      <w:r>
        <w:rPr>
          <w:color w:val="000000"/>
          <w:sz w:val="24"/>
        </w:rPr>
        <w:t>章。副本可复印，但须加盖单位</w:t>
      </w:r>
      <w:r>
        <w:rPr>
          <w:sz w:val="24"/>
        </w:rPr>
        <w:t>公</w:t>
      </w:r>
      <w:r>
        <w:rPr>
          <w:color w:val="000000"/>
          <w:sz w:val="24"/>
        </w:rPr>
        <w:t>章。</w:t>
      </w:r>
    </w:p>
    <w:p>
      <w:pPr>
        <w:snapToGrid w:val="0"/>
        <w:spacing w:line="360" w:lineRule="auto"/>
        <w:ind w:firstLine="482" w:firstLineChars="200"/>
        <w:jc w:val="left"/>
        <w:rPr>
          <w:b/>
          <w:color w:val="000000"/>
          <w:sz w:val="24"/>
        </w:rPr>
      </w:pPr>
      <w:r>
        <w:rPr>
          <w:b/>
          <w:color w:val="000000"/>
          <w:sz w:val="24"/>
        </w:rPr>
        <w:t>五、响应文件的密封及标记</w:t>
      </w:r>
    </w:p>
    <w:p>
      <w:pPr>
        <w:snapToGrid w:val="0"/>
        <w:spacing w:line="360" w:lineRule="auto"/>
        <w:ind w:firstLine="480" w:firstLineChars="200"/>
        <w:jc w:val="left"/>
        <w:rPr>
          <w:color w:val="000000"/>
          <w:sz w:val="24"/>
        </w:rPr>
      </w:pPr>
      <w:r>
        <w:rPr>
          <w:color w:val="000000"/>
          <w:sz w:val="24"/>
        </w:rPr>
        <w:t>1、供应商可以将正本、副本及图纸类等（如需提供图纸等其它资料的话）合并密封，统一装在一个密封袋或密封箱内（如有A3大小的图纸类，可单独密封）。正本、副本分别密封的，封袋上应标明“正本”、“副本”字样。</w:t>
      </w:r>
    </w:p>
    <w:p>
      <w:pPr>
        <w:snapToGrid w:val="0"/>
        <w:spacing w:line="360" w:lineRule="auto"/>
        <w:ind w:firstLine="480" w:firstLineChars="200"/>
        <w:jc w:val="left"/>
        <w:rPr>
          <w:color w:val="000000"/>
          <w:sz w:val="24"/>
        </w:rPr>
      </w:pPr>
      <w:r>
        <w:rPr>
          <w:color w:val="000000"/>
          <w:sz w:val="24"/>
        </w:rPr>
        <w:t>2、价格响应文件不得出现于资格审查资料或技术商务响应文件等投标资料中。</w:t>
      </w:r>
    </w:p>
    <w:p>
      <w:pPr>
        <w:snapToGrid w:val="0"/>
        <w:spacing w:line="360" w:lineRule="auto"/>
        <w:ind w:firstLine="480" w:firstLineChars="200"/>
        <w:jc w:val="left"/>
        <w:rPr>
          <w:color w:val="000000"/>
          <w:sz w:val="24"/>
        </w:rPr>
      </w:pPr>
      <w:r>
        <w:rPr>
          <w:color w:val="000000"/>
          <w:sz w:val="24"/>
        </w:rPr>
        <w:t>3、响应文件的资格审查资料、技术商务响应文件和价格响应文件应</w:t>
      </w:r>
      <w:r>
        <w:rPr>
          <w:b/>
          <w:color w:val="000000"/>
          <w:sz w:val="24"/>
        </w:rPr>
        <w:t>分别密封</w:t>
      </w:r>
      <w:r>
        <w:rPr>
          <w:color w:val="000000"/>
          <w:sz w:val="24"/>
        </w:rPr>
        <w:t xml:space="preserve">，并在封袋上写明 “资格审查资料”、“技术商务响应文件”、“价格响应文件”，同时还要写明采购人名称、项目名称及供应商名称。封袋上应加盖供应商公章。 </w:t>
      </w:r>
    </w:p>
    <w:p>
      <w:pPr>
        <w:snapToGrid w:val="0"/>
        <w:spacing w:line="360" w:lineRule="auto"/>
        <w:ind w:firstLine="482" w:firstLineChars="200"/>
        <w:jc w:val="left"/>
        <w:rPr>
          <w:color w:val="000000"/>
          <w:sz w:val="24"/>
        </w:rPr>
      </w:pPr>
      <w:r>
        <w:rPr>
          <w:b/>
          <w:color w:val="000000"/>
          <w:sz w:val="24"/>
        </w:rPr>
        <w:t>未按上述规定密封的响应文件，采购人不予接收</w:t>
      </w:r>
      <w:r>
        <w:rPr>
          <w:color w:val="000000"/>
          <w:sz w:val="24"/>
        </w:rPr>
        <w:t>。</w:t>
      </w:r>
    </w:p>
    <w:p>
      <w:pPr>
        <w:snapToGrid w:val="0"/>
        <w:spacing w:line="360" w:lineRule="auto"/>
        <w:ind w:firstLine="482" w:firstLineChars="200"/>
        <w:jc w:val="left"/>
        <w:rPr>
          <w:b/>
          <w:color w:val="000000"/>
          <w:sz w:val="24"/>
        </w:rPr>
      </w:pPr>
      <w:r>
        <w:rPr>
          <w:b/>
          <w:color w:val="000000"/>
          <w:sz w:val="24"/>
        </w:rPr>
        <w:t>六、响应文件的递交时间</w:t>
      </w:r>
    </w:p>
    <w:p>
      <w:pPr>
        <w:snapToGrid w:val="0"/>
        <w:spacing w:line="360" w:lineRule="auto"/>
        <w:ind w:firstLine="480" w:firstLineChars="200"/>
        <w:jc w:val="left"/>
        <w:rPr>
          <w:color w:val="000000"/>
          <w:sz w:val="24"/>
        </w:rPr>
      </w:pPr>
      <w:r>
        <w:rPr>
          <w:color w:val="000000"/>
          <w:sz w:val="24"/>
        </w:rPr>
        <w:t>供应商必须在规定的响应文件接收截止时间前送达采购人。采购人将拒绝接收在截止时间后递交的响应文件。</w:t>
      </w:r>
    </w:p>
    <w:p>
      <w:pPr>
        <w:snapToGrid w:val="0"/>
        <w:spacing w:line="360" w:lineRule="auto"/>
        <w:ind w:firstLine="482" w:firstLineChars="200"/>
        <w:jc w:val="left"/>
        <w:rPr>
          <w:b/>
          <w:color w:val="000000"/>
          <w:sz w:val="24"/>
        </w:rPr>
      </w:pPr>
      <w:r>
        <w:rPr>
          <w:b/>
          <w:color w:val="000000"/>
          <w:sz w:val="24"/>
        </w:rPr>
        <w:t>七、磋商保证金</w:t>
      </w:r>
    </w:p>
    <w:p>
      <w:pPr>
        <w:snapToGrid w:val="0"/>
        <w:spacing w:line="360" w:lineRule="auto"/>
        <w:ind w:firstLine="480" w:firstLineChars="200"/>
        <w:jc w:val="left"/>
        <w:rPr>
          <w:color w:val="000000"/>
          <w:sz w:val="24"/>
        </w:rPr>
      </w:pPr>
      <w:r>
        <w:rPr>
          <w:color w:val="000000"/>
          <w:sz w:val="24"/>
        </w:rPr>
        <w:t>本项目不收取磋商保证金。</w:t>
      </w:r>
    </w:p>
    <w:p>
      <w:pPr>
        <w:snapToGrid w:val="0"/>
        <w:spacing w:line="360" w:lineRule="auto"/>
        <w:ind w:firstLine="482" w:firstLineChars="200"/>
        <w:jc w:val="left"/>
        <w:rPr>
          <w:b/>
          <w:color w:val="000000"/>
          <w:sz w:val="24"/>
        </w:rPr>
      </w:pPr>
      <w:r>
        <w:rPr>
          <w:b/>
          <w:color w:val="000000"/>
          <w:sz w:val="24"/>
        </w:rPr>
        <w:t>八、履约保证金</w:t>
      </w:r>
    </w:p>
    <w:p>
      <w:pPr>
        <w:spacing w:line="360" w:lineRule="auto"/>
        <w:ind w:firstLine="480" w:firstLineChars="200"/>
        <w:rPr>
          <w:color w:val="000000"/>
          <w:kern w:val="0"/>
          <w:sz w:val="24"/>
        </w:rPr>
      </w:pPr>
      <w:r>
        <w:rPr>
          <w:color w:val="000000"/>
          <w:kern w:val="0"/>
          <w:sz w:val="24"/>
        </w:rPr>
        <w:t>1、本项目成交后的履约保证金为项目成交价的</w:t>
      </w:r>
      <w:r>
        <w:rPr>
          <w:rFonts w:hint="eastAsia"/>
          <w:b/>
          <w:color w:val="000000"/>
          <w:kern w:val="0"/>
          <w:sz w:val="24"/>
          <w:u w:val="single"/>
        </w:rPr>
        <w:t>10</w:t>
      </w:r>
      <w:r>
        <w:rPr>
          <w:b/>
          <w:color w:val="000000"/>
          <w:kern w:val="0"/>
          <w:sz w:val="24"/>
          <w:u w:val="single"/>
        </w:rPr>
        <w:t>%</w:t>
      </w:r>
      <w:r>
        <w:rPr>
          <w:color w:val="000000"/>
          <w:kern w:val="0"/>
          <w:sz w:val="24"/>
        </w:rPr>
        <w:t>。</w:t>
      </w:r>
    </w:p>
    <w:p>
      <w:pPr>
        <w:spacing w:line="360" w:lineRule="auto"/>
        <w:ind w:firstLine="480" w:firstLineChars="200"/>
        <w:rPr>
          <w:color w:val="000000"/>
          <w:kern w:val="0"/>
          <w:sz w:val="24"/>
        </w:rPr>
      </w:pPr>
      <w:r>
        <w:rPr>
          <w:color w:val="000000"/>
          <w:kern w:val="0"/>
          <w:sz w:val="24"/>
        </w:rPr>
        <w:t>2、成交供应商的履约保证金须在成交通知书发出之日起至合同签订前汇入采购人账户，成交供应商凭成交通知书、履约保证金缴费证明与采购人签订合同。超期或未有协商，则视为自动放弃成交资格。</w:t>
      </w:r>
    </w:p>
    <w:p>
      <w:pPr>
        <w:spacing w:line="360" w:lineRule="auto"/>
        <w:ind w:firstLine="480" w:firstLineChars="200"/>
        <w:rPr>
          <w:color w:val="000000"/>
          <w:kern w:val="0"/>
          <w:sz w:val="24"/>
        </w:rPr>
      </w:pPr>
      <w:r>
        <w:rPr>
          <w:color w:val="000000"/>
          <w:kern w:val="0"/>
          <w:sz w:val="24"/>
        </w:rPr>
        <w:t>3、由于成交供应商原因，在签订合同后出现不按合同履行的情况，采购人有权将履约保证金作为违约金，全额不予退还，同时采购人亦有权终止合同，成交供应商还须承担相应的法律赔偿责任。</w:t>
      </w:r>
    </w:p>
    <w:p>
      <w:pPr>
        <w:spacing w:line="360" w:lineRule="auto"/>
        <w:ind w:firstLine="480" w:firstLineChars="200"/>
        <w:rPr>
          <w:color w:val="000000"/>
          <w:kern w:val="0"/>
          <w:sz w:val="24"/>
        </w:rPr>
      </w:pPr>
      <w:r>
        <w:rPr>
          <w:rFonts w:hint="eastAsia"/>
          <w:color w:val="000000"/>
          <w:kern w:val="0"/>
          <w:sz w:val="24"/>
        </w:rPr>
        <w:t>4、供应商供货完成，</w:t>
      </w:r>
      <w:r>
        <w:rPr>
          <w:color w:val="000000"/>
          <w:kern w:val="0"/>
          <w:sz w:val="24"/>
        </w:rPr>
        <w:t>项目</w:t>
      </w:r>
      <w:r>
        <w:rPr>
          <w:rFonts w:hint="eastAsia"/>
          <w:color w:val="000000"/>
          <w:kern w:val="0"/>
          <w:sz w:val="24"/>
        </w:rPr>
        <w:t>验收合格后6个月内</w:t>
      </w:r>
      <w:r>
        <w:rPr>
          <w:color w:val="000000"/>
          <w:kern w:val="0"/>
          <w:sz w:val="24"/>
        </w:rPr>
        <w:t>无质量问题（如有索赔则完成索赔后）在一个月内支付。不计利息。</w:t>
      </w:r>
    </w:p>
    <w:p>
      <w:pPr>
        <w:snapToGrid w:val="0"/>
        <w:spacing w:line="360" w:lineRule="auto"/>
        <w:ind w:firstLine="482" w:firstLineChars="200"/>
        <w:jc w:val="left"/>
        <w:rPr>
          <w:b/>
          <w:color w:val="000000"/>
          <w:sz w:val="24"/>
        </w:rPr>
      </w:pPr>
      <w:r>
        <w:rPr>
          <w:b/>
          <w:color w:val="000000"/>
          <w:sz w:val="24"/>
        </w:rPr>
        <w:t>九、响应文件有效期</w:t>
      </w:r>
    </w:p>
    <w:p>
      <w:pPr>
        <w:snapToGrid w:val="0"/>
        <w:spacing w:line="360" w:lineRule="auto"/>
        <w:ind w:firstLine="480" w:firstLineChars="200"/>
        <w:jc w:val="left"/>
        <w:rPr>
          <w:color w:val="000000"/>
          <w:sz w:val="24"/>
        </w:rPr>
      </w:pPr>
      <w:r>
        <w:rPr>
          <w:color w:val="000000"/>
          <w:sz w:val="24"/>
        </w:rPr>
        <w:t>响应文件自投标截止时间起45个自然日内有效。磋商程序进行后，不论成交与否，所有已开启的响应文件均予不退，未开启的响应文件可退回。</w:t>
      </w:r>
    </w:p>
    <w:p>
      <w:pPr>
        <w:snapToGrid w:val="0"/>
        <w:spacing w:line="360" w:lineRule="auto"/>
        <w:ind w:firstLine="482" w:firstLineChars="200"/>
        <w:jc w:val="left"/>
        <w:rPr>
          <w:b/>
          <w:color w:val="000000"/>
          <w:sz w:val="24"/>
        </w:rPr>
      </w:pPr>
      <w:r>
        <w:rPr>
          <w:b/>
          <w:color w:val="000000"/>
          <w:sz w:val="24"/>
        </w:rPr>
        <w:t>十、磋商费用</w:t>
      </w:r>
    </w:p>
    <w:p>
      <w:pPr>
        <w:snapToGrid w:val="0"/>
        <w:spacing w:line="360" w:lineRule="auto"/>
        <w:ind w:firstLine="480" w:firstLineChars="200"/>
        <w:jc w:val="left"/>
        <w:rPr>
          <w:color w:val="000000"/>
          <w:sz w:val="24"/>
        </w:rPr>
      </w:pPr>
      <w:r>
        <w:rPr>
          <w:color w:val="000000"/>
          <w:sz w:val="24"/>
        </w:rPr>
        <w:t>1、供应商应承担其编制响应文件以及递交响应文件所涉及的一切费用。无论磋商结果如何，采购人对上述费用不负任何责任。</w:t>
      </w:r>
    </w:p>
    <w:p>
      <w:pPr>
        <w:snapToGrid w:val="0"/>
        <w:spacing w:line="360" w:lineRule="auto"/>
        <w:ind w:firstLine="480" w:firstLineChars="200"/>
        <w:jc w:val="left"/>
        <w:rPr>
          <w:sz w:val="24"/>
        </w:rPr>
      </w:pPr>
      <w:r>
        <w:rPr>
          <w:sz w:val="24"/>
        </w:rPr>
        <w:t>2、磋商文件及相关资料费</w:t>
      </w:r>
      <w:r>
        <w:rPr>
          <w:rFonts w:hint="eastAsia"/>
          <w:sz w:val="24"/>
        </w:rPr>
        <w:t>2</w:t>
      </w:r>
      <w:r>
        <w:rPr>
          <w:sz w:val="24"/>
        </w:rPr>
        <w:t>00元整，由供应商在递交响应文件时缴纳，售后不退。</w:t>
      </w:r>
    </w:p>
    <w:p>
      <w:pPr>
        <w:snapToGrid w:val="0"/>
        <w:spacing w:line="360" w:lineRule="auto"/>
        <w:ind w:firstLine="480" w:firstLineChars="200"/>
        <w:jc w:val="left"/>
        <w:rPr>
          <w:color w:val="000000"/>
          <w:sz w:val="24"/>
        </w:rPr>
      </w:pPr>
      <w:r>
        <w:rPr>
          <w:color w:val="000000"/>
          <w:sz w:val="24"/>
        </w:rPr>
        <w:t>3、本次磋商采购代理服务费人民币2000元整，供应商须综合考虑在响应报价内（不得单列），由成交供应商承担并在领取成交通知书前支付给采购代理机构。</w:t>
      </w:r>
    </w:p>
    <w:p>
      <w:pPr>
        <w:snapToGrid w:val="0"/>
        <w:spacing w:line="360" w:lineRule="auto"/>
        <w:ind w:firstLine="482" w:firstLineChars="200"/>
        <w:jc w:val="left"/>
        <w:rPr>
          <w:b/>
          <w:color w:val="000000"/>
          <w:sz w:val="24"/>
        </w:rPr>
      </w:pPr>
      <w:r>
        <w:rPr>
          <w:b/>
          <w:color w:val="000000"/>
          <w:sz w:val="24"/>
        </w:rPr>
        <w:t>十一、未尽事宜</w:t>
      </w:r>
    </w:p>
    <w:p>
      <w:pPr>
        <w:snapToGrid w:val="0"/>
        <w:spacing w:line="360" w:lineRule="auto"/>
        <w:ind w:firstLine="480" w:firstLineChars="200"/>
        <w:jc w:val="left"/>
        <w:rPr>
          <w:sz w:val="24"/>
        </w:rPr>
      </w:pPr>
      <w:r>
        <w:rPr>
          <w:sz w:val="24"/>
        </w:rPr>
        <w:t>按《中华人民共和国政府采购法》、《政府采购竞争性磋商采购方式管理暂行办法》及其他有关法律法规的规定执行。</w:t>
      </w:r>
    </w:p>
    <w:p>
      <w:pPr>
        <w:snapToGrid w:val="0"/>
        <w:spacing w:line="300" w:lineRule="auto"/>
        <w:jc w:val="center"/>
        <w:rPr>
          <w:color w:val="000000"/>
          <w:sz w:val="24"/>
        </w:rPr>
      </w:pPr>
      <w:r>
        <w:rPr>
          <w:b/>
          <w:color w:val="000000"/>
          <w:sz w:val="36"/>
          <w:szCs w:val="36"/>
        </w:rPr>
        <w:br w:type="page"/>
      </w:r>
      <w:r>
        <w:rPr>
          <w:b/>
          <w:color w:val="000000"/>
          <w:sz w:val="36"/>
          <w:szCs w:val="36"/>
        </w:rPr>
        <w:t>第三部分  项目需求说明</w:t>
      </w:r>
    </w:p>
    <w:p>
      <w:pPr>
        <w:snapToGrid w:val="0"/>
        <w:spacing w:line="360" w:lineRule="auto"/>
        <w:ind w:firstLine="482" w:firstLineChars="200"/>
        <w:jc w:val="left"/>
        <w:rPr>
          <w:color w:val="000000"/>
          <w:sz w:val="24"/>
        </w:rPr>
      </w:pPr>
      <w:r>
        <w:rPr>
          <w:b/>
          <w:color w:val="000000"/>
          <w:sz w:val="24"/>
        </w:rPr>
        <w:t>请供应商在制作响应文件时仔细研究项目需求说明。</w:t>
      </w:r>
      <w:r>
        <w:rPr>
          <w:color w:val="000000"/>
          <w:sz w:val="24"/>
        </w:rPr>
        <w:t>供应商不能简单照搬照抄采购人项目需求说明中的技术、商务要求，必须作实事求是的响应。如照搬照抄项目需求说明中的技术、商务要求的，成交供应商在同采购人签订合同和履约环节中不得提出异议，一切后果和损失由成交供应商承担。如供应商提供的货物和服务同采购人提出的项目需求说明中的技术、商务要求不同的，必须在《技术商务部分正负偏离表》上明示，如不明示的视同完全响应。</w:t>
      </w:r>
    </w:p>
    <w:p>
      <w:pPr>
        <w:snapToGrid w:val="0"/>
        <w:spacing w:line="360" w:lineRule="auto"/>
        <w:ind w:firstLine="482" w:firstLineChars="200"/>
        <w:jc w:val="left"/>
        <w:rPr>
          <w:b/>
          <w:color w:val="000000"/>
          <w:sz w:val="24"/>
        </w:rPr>
      </w:pPr>
      <w:r>
        <w:rPr>
          <w:b/>
          <w:color w:val="000000"/>
          <w:sz w:val="24"/>
        </w:rPr>
        <w:t>一、 采购内容</w:t>
      </w:r>
    </w:p>
    <w:p>
      <w:pPr>
        <w:snapToGrid w:val="0"/>
        <w:spacing w:line="360" w:lineRule="auto"/>
        <w:ind w:firstLine="480" w:firstLineChars="200"/>
        <w:jc w:val="left"/>
        <w:rPr>
          <w:sz w:val="24"/>
        </w:rPr>
      </w:pPr>
      <w:r>
        <w:rPr>
          <w:sz w:val="24"/>
        </w:rPr>
        <w:t>4台便携式高分辨率VOCs气体检测仪</w:t>
      </w:r>
      <w:r>
        <w:rPr>
          <w:rFonts w:hint="eastAsia"/>
          <w:sz w:val="24"/>
        </w:rPr>
        <w:t>；8台</w:t>
      </w:r>
      <w:r>
        <w:rPr>
          <w:rFonts w:hint="eastAsia" w:ascii="宋体" w:hAnsi="宋体" w:cs="宋体"/>
          <w:sz w:val="24"/>
        </w:rPr>
        <w:t>无人机</w:t>
      </w:r>
    </w:p>
    <w:p>
      <w:pPr>
        <w:snapToGrid w:val="0"/>
        <w:spacing w:line="360" w:lineRule="auto"/>
        <w:ind w:firstLine="482" w:firstLineChars="200"/>
        <w:jc w:val="left"/>
        <w:rPr>
          <w:b/>
          <w:color w:val="000000"/>
          <w:sz w:val="24"/>
        </w:rPr>
      </w:pPr>
      <w:r>
        <w:rPr>
          <w:b/>
          <w:color w:val="000000"/>
          <w:sz w:val="24"/>
        </w:rPr>
        <w:t>二、技术参数</w:t>
      </w:r>
    </w:p>
    <w:p>
      <w:pPr>
        <w:snapToGrid w:val="0"/>
        <w:spacing w:line="360" w:lineRule="auto"/>
        <w:ind w:firstLine="482" w:firstLineChars="200"/>
        <w:jc w:val="left"/>
        <w:rPr>
          <w:b/>
          <w:color w:val="000000"/>
          <w:sz w:val="24"/>
        </w:rPr>
      </w:pPr>
      <w:r>
        <w:rPr>
          <w:rFonts w:hint="eastAsia"/>
          <w:b/>
          <w:color w:val="000000"/>
          <w:sz w:val="24"/>
        </w:rPr>
        <w:t>1、便携式高分辨率VOCs气体检测仪</w:t>
      </w:r>
    </w:p>
    <w:tbl>
      <w:tblPr>
        <w:tblStyle w:val="37"/>
        <w:tblW w:w="5018"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0" w:type="dxa"/>
          <w:bottom w:w="0" w:type="dxa"/>
          <w:right w:w="0" w:type="dxa"/>
        </w:tblCellMar>
      </w:tblPr>
      <w:tblGrid>
        <w:gridCol w:w="2704"/>
        <w:gridCol w:w="6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437" w:hRule="atLeast"/>
        </w:trPr>
        <w:tc>
          <w:tcPr>
            <w:tcW w:w="1456" w:type="pct"/>
            <w:shd w:val="clear" w:color="auto" w:fill="FFFFFF"/>
            <w:vAlign w:val="center"/>
          </w:tcPr>
          <w:p>
            <w:pPr>
              <w:autoSpaceDE w:val="0"/>
              <w:autoSpaceDN w:val="0"/>
              <w:jc w:val="center"/>
              <w:rPr>
                <w:kern w:val="0"/>
                <w:szCs w:val="21"/>
                <w:lang w:eastAsia="en-US" w:bidi="en-US"/>
              </w:rPr>
            </w:pPr>
            <w:r>
              <w:rPr>
                <w:rFonts w:hAnsi="宋体"/>
                <w:color w:val="333333"/>
                <w:kern w:val="0"/>
                <w:szCs w:val="21"/>
                <w:lang w:eastAsia="en-US" w:bidi="en-US"/>
              </w:rPr>
              <w:t>分析方法</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PID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456" w:type="pct"/>
            <w:shd w:val="clear" w:color="auto" w:fill="FFFFFF"/>
            <w:vAlign w:val="center"/>
          </w:tcPr>
          <w:p>
            <w:pPr>
              <w:autoSpaceDE w:val="0"/>
              <w:autoSpaceDN w:val="0"/>
              <w:jc w:val="center"/>
              <w:rPr>
                <w:kern w:val="0"/>
                <w:szCs w:val="21"/>
                <w:lang w:eastAsia="en-US" w:bidi="en-US"/>
              </w:rPr>
            </w:pPr>
            <w:r>
              <w:rPr>
                <w:rFonts w:hAnsi="宋体"/>
                <w:color w:val="333333"/>
                <w:kern w:val="0"/>
                <w:szCs w:val="21"/>
                <w:lang w:eastAsia="en-US" w:bidi="en-US"/>
              </w:rPr>
              <w:t>分析组分</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 xml:space="preserve">VOC </w:t>
            </w:r>
            <w:r>
              <w:rPr>
                <w:rFonts w:hAnsi="宋体"/>
                <w:color w:val="333333"/>
                <w:kern w:val="0"/>
                <w:szCs w:val="21"/>
                <w:lang w:eastAsia="en-US" w:bidi="en-US"/>
              </w:rPr>
              <w:t>气体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rFonts w:hAnsi="宋体"/>
                <w:color w:val="333333"/>
                <w:kern w:val="0"/>
                <w:szCs w:val="21"/>
                <w:lang w:eastAsia="en-US" w:bidi="en-US"/>
              </w:rPr>
              <w:t>测量范围</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0-1, 5,10, 20,50,100 ,200,1000 ,2000,10000ppm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437"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精度</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429"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color w:val="333333"/>
                <w:kern w:val="0"/>
                <w:szCs w:val="21"/>
                <w:lang w:eastAsia="en-US" w:bidi="en-US"/>
              </w:rPr>
              <w:t xml:space="preserve">UV </w:t>
            </w:r>
            <w:r>
              <w:rPr>
                <w:rFonts w:hAnsi="宋体"/>
                <w:color w:val="333333"/>
                <w:kern w:val="0"/>
                <w:szCs w:val="21"/>
                <w:lang w:eastAsia="en-US" w:bidi="en-US"/>
              </w:rPr>
              <w:t>灯类型</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10.6eV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436"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分辨率</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0.01ppm</w:t>
            </w:r>
            <w:r>
              <w:rPr>
                <w:rFonts w:hAnsi="宋体"/>
                <w:color w:val="333333"/>
                <w:kern w:val="0"/>
                <w:szCs w:val="21"/>
                <w:lang w:eastAsia="en-US" w:bidi="en-US"/>
              </w:rPr>
              <w:t>（</w:t>
            </w:r>
            <w:r>
              <w:rPr>
                <w:color w:val="333333"/>
                <w:kern w:val="0"/>
                <w:szCs w:val="21"/>
                <w:lang w:eastAsia="en-US" w:bidi="en-US"/>
              </w:rPr>
              <w:t>0</w:t>
            </w:r>
            <w:r>
              <w:rPr>
                <w:rFonts w:hAnsi="宋体"/>
                <w:color w:val="333333"/>
                <w:kern w:val="0"/>
                <w:szCs w:val="21"/>
                <w:lang w:eastAsia="en-US" w:bidi="en-US"/>
              </w:rPr>
              <w:t>～</w:t>
            </w:r>
            <w:r>
              <w:rPr>
                <w:color w:val="333333"/>
                <w:kern w:val="0"/>
                <w:szCs w:val="21"/>
                <w:lang w:eastAsia="en-US" w:bidi="en-US"/>
              </w:rPr>
              <w:t>100</w:t>
            </w:r>
            <w:r>
              <w:rPr>
                <w:rFonts w:hAnsi="宋体"/>
                <w:color w:val="333333"/>
                <w:kern w:val="0"/>
                <w:szCs w:val="21"/>
                <w:lang w:eastAsia="en-US" w:bidi="en-US"/>
              </w:rPr>
              <w:t>）；</w:t>
            </w:r>
            <w:r>
              <w:rPr>
                <w:color w:val="333333"/>
                <w:kern w:val="0"/>
                <w:szCs w:val="21"/>
                <w:lang w:eastAsia="en-US" w:bidi="en-US"/>
              </w:rPr>
              <w:t>0.1ppm</w:t>
            </w:r>
            <w:r>
              <w:rPr>
                <w:rFonts w:hAnsi="宋体"/>
                <w:color w:val="333333"/>
                <w:kern w:val="0"/>
                <w:szCs w:val="21"/>
                <w:lang w:eastAsia="en-US" w:bidi="en-US"/>
              </w:rPr>
              <w:t>（</w:t>
            </w:r>
            <w:r>
              <w:rPr>
                <w:color w:val="333333"/>
                <w:kern w:val="0"/>
                <w:szCs w:val="21"/>
                <w:lang w:eastAsia="en-US" w:bidi="en-US"/>
              </w:rPr>
              <w:t>0</w:t>
            </w:r>
            <w:r>
              <w:rPr>
                <w:rFonts w:hAnsi="宋体"/>
                <w:color w:val="333333"/>
                <w:kern w:val="0"/>
                <w:szCs w:val="21"/>
                <w:lang w:eastAsia="en-US" w:bidi="en-US"/>
              </w:rPr>
              <w:t>～</w:t>
            </w:r>
            <w:r>
              <w:rPr>
                <w:color w:val="333333"/>
                <w:kern w:val="0"/>
                <w:szCs w:val="21"/>
                <w:lang w:eastAsia="en-US" w:bidi="en-US"/>
              </w:rPr>
              <w:t>1000</w:t>
            </w:r>
            <w:r>
              <w:rPr>
                <w:rFonts w:hAnsi="宋体"/>
                <w:color w:val="333333"/>
                <w:kern w:val="0"/>
                <w:szCs w:val="21"/>
                <w:lang w:eastAsia="en-US" w:bidi="en-US"/>
              </w:rPr>
              <w:t>）；</w:t>
            </w:r>
            <w:r>
              <w:rPr>
                <w:color w:val="333333"/>
                <w:kern w:val="0"/>
                <w:szCs w:val="21"/>
                <w:lang w:eastAsia="en-US" w:bidi="en-US"/>
              </w:rPr>
              <w:t>1ppm</w:t>
            </w:r>
            <w:r>
              <w:rPr>
                <w:rFonts w:hAnsi="宋体"/>
                <w:color w:val="333333"/>
                <w:kern w:val="0"/>
                <w:szCs w:val="21"/>
                <w:lang w:eastAsia="en-US" w:bidi="en-US"/>
              </w:rPr>
              <w:t>（</w:t>
            </w:r>
            <w:r>
              <w:rPr>
                <w:color w:val="333333"/>
                <w:kern w:val="0"/>
                <w:szCs w:val="21"/>
                <w:lang w:eastAsia="en-US" w:bidi="en-US"/>
              </w:rPr>
              <w:t>0</w:t>
            </w:r>
            <w:r>
              <w:rPr>
                <w:rFonts w:hAnsi="宋体"/>
                <w:color w:val="333333"/>
                <w:kern w:val="0"/>
                <w:szCs w:val="21"/>
                <w:lang w:eastAsia="en-US" w:bidi="en-US"/>
              </w:rPr>
              <w:t>～</w:t>
            </w:r>
            <w:r>
              <w:rPr>
                <w:color w:val="333333"/>
                <w:kern w:val="0"/>
                <w:szCs w:val="21"/>
                <w:lang w:eastAsia="en-US" w:bidi="en-US"/>
              </w:rPr>
              <w:t xml:space="preserve">1000 ppm </w:t>
            </w:r>
            <w:r>
              <w:rPr>
                <w:rFonts w:hAnsi="宋体"/>
                <w:color w:val="333333"/>
                <w:kern w:val="0"/>
                <w:szCs w:val="21"/>
                <w:lang w:eastAsia="en-US" w:bidi="en-US"/>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最低检测限</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1ppb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重复性</w:t>
            </w:r>
            <w:r>
              <w:rPr>
                <w:color w:val="333333"/>
                <w:kern w:val="0"/>
                <w:szCs w:val="21"/>
                <w:lang w:eastAsia="en-US" w:bidi="en-US"/>
              </w:rPr>
              <w:t>/</w:t>
            </w:r>
            <w:r>
              <w:rPr>
                <w:rFonts w:hAnsi="宋体"/>
                <w:color w:val="333333"/>
                <w:kern w:val="0"/>
                <w:szCs w:val="21"/>
                <w:lang w:eastAsia="en-US" w:bidi="en-US"/>
              </w:rPr>
              <w:t>线性度</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437"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响应时间</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3S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修正系数</w:t>
            </w:r>
          </w:p>
        </w:tc>
        <w:tc>
          <w:tcPr>
            <w:tcW w:w="3544" w:type="pct"/>
            <w:shd w:val="clear" w:color="auto" w:fill="FFFFFF"/>
            <w:vAlign w:val="center"/>
          </w:tcPr>
          <w:p>
            <w:pPr>
              <w:autoSpaceDE w:val="0"/>
              <w:autoSpaceDN w:val="0"/>
              <w:jc w:val="center"/>
              <w:rPr>
                <w:kern w:val="0"/>
                <w:szCs w:val="21"/>
                <w:lang w:eastAsia="en-US" w:bidi="en-US"/>
              </w:rPr>
            </w:pPr>
            <w:r>
              <w:rPr>
                <w:rFonts w:hAnsi="宋体"/>
                <w:color w:val="333333"/>
                <w:kern w:val="0"/>
                <w:szCs w:val="21"/>
                <w:lang w:eastAsia="en-US" w:bidi="en-US"/>
              </w:rPr>
              <w:t>内置</w:t>
            </w:r>
            <w:r>
              <w:rPr>
                <w:color w:val="333333"/>
                <w:kern w:val="0"/>
                <w:szCs w:val="21"/>
                <w:lang w:eastAsia="en-US" w:bidi="en-US"/>
              </w:rPr>
              <w:t xml:space="preserve"> 450 </w:t>
            </w:r>
            <w:r>
              <w:rPr>
                <w:rFonts w:hAnsi="宋体"/>
                <w:color w:val="333333"/>
                <w:kern w:val="0"/>
                <w:szCs w:val="21"/>
                <w:lang w:eastAsia="en-US" w:bidi="en-US"/>
              </w:rPr>
              <w:t>种修正系数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449"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单位显示</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PPM</w:t>
            </w:r>
            <w:r>
              <w:rPr>
                <w:rFonts w:hAnsi="宋体"/>
                <w:color w:val="333333"/>
                <w:kern w:val="0"/>
                <w:szCs w:val="21"/>
                <w:lang w:eastAsia="en-US" w:bidi="en-US"/>
              </w:rPr>
              <w:t>、</w:t>
            </w:r>
            <w:r>
              <w:rPr>
                <w:color w:val="333333"/>
                <w:kern w:val="0"/>
                <w:szCs w:val="21"/>
                <w:lang w:eastAsia="en-US" w:bidi="en-US"/>
              </w:rPr>
              <w:t>mg/m3</w:t>
            </w:r>
            <w:r>
              <w:rPr>
                <w:rFonts w:hAnsi="宋体"/>
                <w:color w:val="333333"/>
                <w:kern w:val="0"/>
                <w:szCs w:val="21"/>
                <w:lang w:eastAsia="en-US" w:bidi="en-US"/>
              </w:rPr>
              <w:t>、</w:t>
            </w:r>
            <w:r>
              <w:rPr>
                <w:color w:val="333333"/>
                <w:kern w:val="0"/>
                <w:szCs w:val="21"/>
                <w:lang w:eastAsia="en-US" w:bidi="en-US"/>
              </w:rPr>
              <w:t>Vol%</w:t>
            </w:r>
            <w:r>
              <w:rPr>
                <w:rFonts w:hAnsi="宋体"/>
                <w:color w:val="333333"/>
                <w:kern w:val="0"/>
                <w:szCs w:val="21"/>
                <w:lang w:eastAsia="en-US" w:bidi="en-US"/>
              </w:rPr>
              <w:t>、</w:t>
            </w:r>
            <w:r>
              <w:rPr>
                <w:color w:val="333333"/>
                <w:kern w:val="0"/>
                <w:szCs w:val="21"/>
                <w:lang w:eastAsia="en-US" w:bidi="en-US"/>
              </w:rPr>
              <w:t>LEL%</w:t>
            </w:r>
            <w:r>
              <w:rPr>
                <w:rFonts w:hAnsi="宋体"/>
                <w:color w:val="333333"/>
                <w:kern w:val="0"/>
                <w:szCs w:val="21"/>
                <w:lang w:eastAsia="en-US" w:bidi="en-US"/>
              </w:rPr>
              <w:t>、</w:t>
            </w:r>
            <w:r>
              <w:rPr>
                <w:color w:val="333333"/>
                <w:kern w:val="0"/>
                <w:szCs w:val="21"/>
                <w:lang w:eastAsia="en-US" w:bidi="en-US"/>
              </w:rPr>
              <w:t>ppb</w:t>
            </w:r>
            <w:r>
              <w:rPr>
                <w:rFonts w:hAnsi="宋体"/>
                <w:color w:val="333333"/>
                <w:kern w:val="0"/>
                <w:szCs w:val="21"/>
                <w:lang w:eastAsia="en-US" w:bidi="en-US"/>
              </w:rPr>
              <w:t>、</w:t>
            </w:r>
            <w:r>
              <w:rPr>
                <w:color w:val="333333"/>
                <w:kern w:val="0"/>
                <w:szCs w:val="21"/>
                <w:lang w:eastAsia="en-US" w:bidi="en-US"/>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采样方式</w:t>
            </w:r>
          </w:p>
        </w:tc>
        <w:tc>
          <w:tcPr>
            <w:tcW w:w="3544" w:type="pct"/>
            <w:shd w:val="clear" w:color="auto" w:fill="FFFFFF"/>
            <w:vAlign w:val="center"/>
          </w:tcPr>
          <w:p>
            <w:pPr>
              <w:autoSpaceDE w:val="0"/>
              <w:autoSpaceDN w:val="0"/>
              <w:jc w:val="center"/>
              <w:rPr>
                <w:kern w:val="0"/>
                <w:szCs w:val="21"/>
                <w:lang w:eastAsia="en-US" w:bidi="en-US"/>
              </w:rPr>
            </w:pPr>
            <w:r>
              <w:rPr>
                <w:rFonts w:hAnsi="宋体"/>
                <w:color w:val="333333"/>
                <w:kern w:val="0"/>
                <w:szCs w:val="21"/>
                <w:lang w:eastAsia="en-US" w:bidi="en-US"/>
              </w:rPr>
              <w:t>泵吸式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采样流量</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500mL/min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防护等级</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IP66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防爆等级</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Exia II CT4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防爆类型</w:t>
            </w:r>
          </w:p>
        </w:tc>
        <w:tc>
          <w:tcPr>
            <w:tcW w:w="3544" w:type="pct"/>
            <w:shd w:val="clear" w:color="auto" w:fill="FFFFFF"/>
            <w:vAlign w:val="center"/>
          </w:tcPr>
          <w:p>
            <w:pPr>
              <w:autoSpaceDE w:val="0"/>
              <w:autoSpaceDN w:val="0"/>
              <w:jc w:val="center"/>
              <w:rPr>
                <w:kern w:val="0"/>
                <w:szCs w:val="21"/>
                <w:lang w:eastAsia="en-US" w:bidi="en-US"/>
              </w:rPr>
            </w:pPr>
            <w:r>
              <w:rPr>
                <w:rFonts w:hAnsi="宋体"/>
                <w:color w:val="333333"/>
                <w:kern w:val="0"/>
                <w:szCs w:val="21"/>
                <w:lang w:eastAsia="en-US" w:bidi="en-US"/>
              </w:rPr>
              <w:t>本安型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color w:val="333333"/>
                <w:kern w:val="0"/>
                <w:szCs w:val="21"/>
                <w:lang w:eastAsia="en-US" w:bidi="en-US"/>
              </w:rPr>
              <w:t xml:space="preserve">PID </w:t>
            </w:r>
            <w:r>
              <w:rPr>
                <w:rFonts w:hAnsi="宋体"/>
                <w:color w:val="333333"/>
                <w:kern w:val="0"/>
                <w:szCs w:val="21"/>
                <w:lang w:eastAsia="en-US" w:bidi="en-US"/>
              </w:rPr>
              <w:t>紫外灯</w:t>
            </w:r>
          </w:p>
        </w:tc>
        <w:tc>
          <w:tcPr>
            <w:tcW w:w="3544" w:type="pct"/>
            <w:shd w:val="clear" w:color="auto" w:fill="FFFFFF"/>
            <w:vAlign w:val="center"/>
          </w:tcPr>
          <w:p>
            <w:pPr>
              <w:autoSpaceDE w:val="0"/>
              <w:autoSpaceDN w:val="0"/>
              <w:jc w:val="center"/>
              <w:rPr>
                <w:kern w:val="0"/>
                <w:szCs w:val="21"/>
                <w:lang w:eastAsia="en-US" w:bidi="en-US"/>
              </w:rPr>
            </w:pPr>
            <w:r>
              <w:rPr>
                <w:rFonts w:hAnsi="宋体"/>
                <w:color w:val="333333"/>
                <w:kern w:val="0"/>
                <w:szCs w:val="21"/>
                <w:lang w:eastAsia="en-US" w:bidi="en-US"/>
              </w:rPr>
              <w:t>易清洁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kern w:val="0"/>
                <w:szCs w:val="21"/>
                <w:lang w:eastAsia="en-US"/>
              </w:rPr>
              <w:t>▲</w:t>
            </w:r>
            <w:r>
              <w:rPr>
                <w:rFonts w:hAnsi="宋体"/>
                <w:color w:val="333333"/>
                <w:kern w:val="0"/>
                <w:szCs w:val="21"/>
                <w:lang w:eastAsia="en-US" w:bidi="en-US"/>
              </w:rPr>
              <w:t>环境温度</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-20</w:t>
            </w:r>
            <w:r>
              <w:rPr>
                <w:rFonts w:hAnsi="宋体"/>
                <w:color w:val="333333"/>
                <w:kern w:val="0"/>
                <w:szCs w:val="21"/>
                <w:lang w:eastAsia="en-US" w:bidi="en-US"/>
              </w:rPr>
              <w:t>℃</w:t>
            </w:r>
            <w:r>
              <w:rPr>
                <w:color w:val="333333"/>
                <w:kern w:val="0"/>
                <w:szCs w:val="21"/>
                <w:lang w:eastAsia="en-US" w:bidi="en-US"/>
              </w:rPr>
              <w:t xml:space="preserve">  </w:t>
            </w:r>
            <w:r>
              <w:rPr>
                <w:rFonts w:hAnsi="宋体"/>
                <w:color w:val="333333"/>
                <w:kern w:val="0"/>
                <w:szCs w:val="21"/>
                <w:lang w:eastAsia="en-US" w:bidi="en-US"/>
              </w:rPr>
              <w:t>～</w:t>
            </w:r>
            <w:r>
              <w:rPr>
                <w:color w:val="333333"/>
                <w:kern w:val="0"/>
                <w:szCs w:val="21"/>
                <w:lang w:eastAsia="en-US" w:bidi="en-US"/>
              </w:rPr>
              <w:t xml:space="preserve"> 50</w:t>
            </w:r>
            <w:r>
              <w:rPr>
                <w:rFonts w:hAnsi="宋体"/>
                <w:color w:val="333333"/>
                <w:kern w:val="0"/>
                <w:szCs w:val="21"/>
                <w:lang w:eastAsia="en-US" w:bidi="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56" w:type="pct"/>
            <w:tcBorders>
              <w:bottom w:val="single" w:color="000000" w:sz="6" w:space="0"/>
            </w:tcBorders>
            <w:shd w:val="clear" w:color="auto" w:fill="FFFFFF"/>
            <w:vAlign w:val="center"/>
          </w:tcPr>
          <w:p>
            <w:pPr>
              <w:autoSpaceDE w:val="0"/>
              <w:autoSpaceDN w:val="0"/>
              <w:jc w:val="center"/>
              <w:rPr>
                <w:kern w:val="0"/>
                <w:szCs w:val="21"/>
                <w:lang w:eastAsia="en-US" w:bidi="en-US"/>
              </w:rPr>
            </w:pPr>
            <w:r>
              <w:rPr>
                <w:kern w:val="0"/>
                <w:szCs w:val="21"/>
                <w:lang w:eastAsia="en-US"/>
              </w:rPr>
              <w:t>▲</w:t>
            </w:r>
            <w:r>
              <w:rPr>
                <w:rFonts w:hAnsi="宋体"/>
                <w:color w:val="333333"/>
                <w:kern w:val="0"/>
                <w:szCs w:val="21"/>
                <w:lang w:eastAsia="en-US" w:bidi="en-US"/>
              </w:rPr>
              <w:t>报警方式</w:t>
            </w:r>
          </w:p>
        </w:tc>
        <w:tc>
          <w:tcPr>
            <w:tcW w:w="3544" w:type="pct"/>
            <w:tcBorders>
              <w:bottom w:val="single" w:color="000000" w:sz="6" w:space="0"/>
            </w:tcBorders>
            <w:shd w:val="clear" w:color="auto" w:fill="FFFFFF"/>
            <w:vAlign w:val="center"/>
          </w:tcPr>
          <w:p>
            <w:pPr>
              <w:autoSpaceDE w:val="0"/>
              <w:autoSpaceDN w:val="0"/>
              <w:jc w:val="center"/>
              <w:rPr>
                <w:kern w:val="0"/>
                <w:szCs w:val="21"/>
                <w:lang w:bidi="en-US"/>
              </w:rPr>
            </w:pPr>
            <w:r>
              <w:rPr>
                <w:rFonts w:hAnsi="宋体"/>
                <w:color w:val="333333"/>
                <w:kern w:val="0"/>
                <w:szCs w:val="21"/>
                <w:lang w:bidi="en-US"/>
              </w:rPr>
              <w:t>声光报警、振动报警、视觉报警、声光</w:t>
            </w:r>
            <w:r>
              <w:rPr>
                <w:color w:val="333333"/>
                <w:kern w:val="0"/>
                <w:szCs w:val="21"/>
                <w:lang w:bidi="en-US"/>
              </w:rPr>
              <w:t>+</w:t>
            </w:r>
            <w:r>
              <w:rPr>
                <w:rFonts w:hAnsi="宋体"/>
                <w:color w:val="333333"/>
                <w:kern w:val="0"/>
                <w:szCs w:val="21"/>
                <w:lang w:bidi="en-US"/>
              </w:rPr>
              <w:t>振动</w:t>
            </w:r>
            <w:r>
              <w:rPr>
                <w:color w:val="333333"/>
                <w:kern w:val="0"/>
                <w:szCs w:val="21"/>
                <w:lang w:bidi="en-US"/>
              </w:rPr>
              <w:t>+</w:t>
            </w:r>
            <w:r>
              <w:rPr>
                <w:rFonts w:hAnsi="宋体"/>
                <w:color w:val="333333"/>
                <w:kern w:val="0"/>
                <w:szCs w:val="21"/>
                <w:lang w:bidi="en-US"/>
              </w:rPr>
              <w:t>视觉报警、关闭报警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56" w:type="pct"/>
            <w:tcBorders>
              <w:top w:val="single" w:color="000000" w:sz="6" w:space="0"/>
            </w:tcBorders>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通讯接口</w:t>
            </w:r>
          </w:p>
        </w:tc>
        <w:tc>
          <w:tcPr>
            <w:tcW w:w="3544" w:type="pct"/>
            <w:tcBorders>
              <w:top w:val="single" w:color="000000" w:sz="6" w:space="0"/>
            </w:tcBorders>
            <w:shd w:val="clear" w:color="auto" w:fill="FFFFFF"/>
            <w:vAlign w:val="center"/>
          </w:tcPr>
          <w:p>
            <w:pPr>
              <w:autoSpaceDE w:val="0"/>
              <w:autoSpaceDN w:val="0"/>
              <w:jc w:val="center"/>
              <w:rPr>
                <w:kern w:val="0"/>
                <w:szCs w:val="21"/>
                <w:lang w:bidi="en-US"/>
              </w:rPr>
            </w:pPr>
            <w:r>
              <w:rPr>
                <w:color w:val="333333"/>
                <w:kern w:val="0"/>
                <w:szCs w:val="21"/>
                <w:lang w:bidi="en-US"/>
              </w:rPr>
              <w:t>USB</w:t>
            </w:r>
            <w:r>
              <w:rPr>
                <w:rFonts w:hAnsi="宋体"/>
                <w:color w:val="333333"/>
                <w:kern w:val="0"/>
                <w:szCs w:val="21"/>
                <w:lang w:bidi="en-US"/>
              </w:rPr>
              <w:t>（充电与通讯）、</w:t>
            </w:r>
            <w:r>
              <w:rPr>
                <w:color w:val="333333"/>
                <w:kern w:val="0"/>
                <w:szCs w:val="21"/>
                <w:lang w:bidi="en-US"/>
              </w:rPr>
              <w:t>RS232</w:t>
            </w:r>
            <w:r>
              <w:rPr>
                <w:rFonts w:hAnsi="宋体"/>
                <w:color w:val="333333"/>
                <w:kern w:val="0"/>
                <w:szCs w:val="21"/>
                <w:lang w:bidi="en-US"/>
              </w:rPr>
              <w:t>、红外通讯，自动识别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rFonts w:hAnsi="宋体"/>
                <w:color w:val="333333"/>
                <w:kern w:val="0"/>
                <w:szCs w:val="21"/>
                <w:lang w:eastAsia="en-US" w:bidi="en-US"/>
              </w:rPr>
              <w:t>按键</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 xml:space="preserve">8 </w:t>
            </w:r>
            <w:r>
              <w:rPr>
                <w:rFonts w:hAnsi="宋体"/>
                <w:color w:val="333333"/>
                <w:kern w:val="0"/>
                <w:szCs w:val="21"/>
                <w:lang w:eastAsia="en-US" w:bidi="en-US"/>
              </w:rPr>
              <w:t>按键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5000" w:type="pct"/>
            <w:gridSpan w:val="2"/>
            <w:shd w:val="clear" w:color="auto" w:fill="FFFFFF"/>
            <w:vAlign w:val="center"/>
          </w:tcPr>
          <w:p>
            <w:pPr>
              <w:autoSpaceDE w:val="0"/>
              <w:autoSpaceDN w:val="0"/>
              <w:jc w:val="center"/>
              <w:rPr>
                <w:b/>
                <w:kern w:val="0"/>
                <w:szCs w:val="21"/>
                <w:lang w:eastAsia="en-US" w:bidi="en-US"/>
              </w:rPr>
            </w:pPr>
            <w:r>
              <w:rPr>
                <w:rFonts w:hAnsi="宋体"/>
                <w:b/>
                <w:color w:val="333333"/>
                <w:kern w:val="0"/>
                <w:szCs w:val="21"/>
                <w:lang w:eastAsia="en-US" w:bidi="en-US"/>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kern w:val="0"/>
                <w:szCs w:val="21"/>
                <w:lang w:eastAsia="en-US"/>
              </w:rPr>
              <w:t>▲</w:t>
            </w:r>
            <w:r>
              <w:rPr>
                <w:rFonts w:hAnsi="宋体"/>
                <w:color w:val="333333"/>
                <w:kern w:val="0"/>
                <w:szCs w:val="21"/>
                <w:lang w:eastAsia="en-US" w:bidi="en-US"/>
              </w:rPr>
              <w:t>类型</w:t>
            </w:r>
          </w:p>
        </w:tc>
        <w:tc>
          <w:tcPr>
            <w:tcW w:w="3544" w:type="pct"/>
            <w:shd w:val="clear" w:color="auto" w:fill="FFFFFF"/>
            <w:vAlign w:val="center"/>
          </w:tcPr>
          <w:p>
            <w:pPr>
              <w:autoSpaceDE w:val="0"/>
              <w:autoSpaceDN w:val="0"/>
              <w:jc w:val="center"/>
              <w:rPr>
                <w:kern w:val="0"/>
                <w:szCs w:val="21"/>
                <w:lang w:eastAsia="en-US" w:bidi="en-US"/>
              </w:rPr>
            </w:pPr>
            <w:r>
              <w:rPr>
                <w:rFonts w:hAnsi="宋体"/>
                <w:color w:val="333333"/>
                <w:kern w:val="0"/>
                <w:szCs w:val="21"/>
                <w:lang w:eastAsia="en-US" w:bidi="en-US"/>
              </w:rPr>
              <w:t>手持式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kern w:val="0"/>
                <w:szCs w:val="21"/>
                <w:lang w:eastAsia="en-US"/>
              </w:rPr>
              <w:t>▲</w:t>
            </w:r>
            <w:r>
              <w:rPr>
                <w:rFonts w:hAnsi="宋体"/>
                <w:color w:val="333333"/>
                <w:kern w:val="0"/>
                <w:szCs w:val="21"/>
                <w:lang w:eastAsia="en-US" w:bidi="en-US"/>
              </w:rPr>
              <w:t>工作电源</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DC3.7V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kern w:val="0"/>
                <w:szCs w:val="21"/>
                <w:lang w:eastAsia="en-US"/>
              </w:rPr>
              <w:t>▲</w:t>
            </w:r>
            <w:r>
              <w:rPr>
                <w:rFonts w:hAnsi="宋体"/>
                <w:color w:val="333333"/>
                <w:kern w:val="0"/>
                <w:szCs w:val="21"/>
                <w:lang w:eastAsia="en-US" w:bidi="en-US"/>
              </w:rPr>
              <w:t>操作温度</w:t>
            </w:r>
          </w:p>
        </w:tc>
        <w:tc>
          <w:tcPr>
            <w:tcW w:w="3544" w:type="pct"/>
            <w:shd w:val="clear" w:color="auto" w:fill="FFFFFF"/>
            <w:vAlign w:val="center"/>
          </w:tcPr>
          <w:p>
            <w:pPr>
              <w:autoSpaceDE w:val="0"/>
              <w:autoSpaceDN w:val="0"/>
              <w:jc w:val="center"/>
              <w:rPr>
                <w:kern w:val="0"/>
                <w:szCs w:val="21"/>
                <w:lang w:eastAsia="en-US" w:bidi="en-US"/>
              </w:rPr>
            </w:pPr>
            <w:r>
              <w:rPr>
                <w:color w:val="333333"/>
                <w:kern w:val="0"/>
                <w:szCs w:val="21"/>
                <w:lang w:eastAsia="en-US" w:bidi="en-US"/>
              </w:rPr>
              <w:t>-10</w:t>
            </w:r>
            <w:r>
              <w:rPr>
                <w:rFonts w:hAnsi="宋体"/>
                <w:color w:val="333333"/>
                <w:kern w:val="0"/>
                <w:szCs w:val="21"/>
                <w:lang w:eastAsia="en-US" w:bidi="en-US"/>
              </w:rPr>
              <w:t>℃</w:t>
            </w:r>
            <w:r>
              <w:rPr>
                <w:color w:val="333333"/>
                <w:kern w:val="0"/>
                <w:szCs w:val="21"/>
                <w:lang w:eastAsia="en-US" w:bidi="en-US"/>
              </w:rPr>
              <w:t>-40</w:t>
            </w:r>
            <w:r>
              <w:rPr>
                <w:rFonts w:hAnsi="宋体"/>
                <w:color w:val="333333"/>
                <w:kern w:val="0"/>
                <w:szCs w:val="21"/>
                <w:lang w:eastAsia="en-US" w:bidi="en-US"/>
              </w:rPr>
              <w:t>℃，</w:t>
            </w:r>
            <w:r>
              <w:rPr>
                <w:color w:val="333333"/>
                <w:kern w:val="0"/>
                <w:szCs w:val="21"/>
                <w:lang w:eastAsia="en-US" w:bidi="en-US"/>
              </w:rPr>
              <w:t>5-95%</w:t>
            </w:r>
            <w:r>
              <w:rPr>
                <w:rFonts w:hAnsi="宋体"/>
                <w:color w:val="333333"/>
                <w:kern w:val="0"/>
                <w:szCs w:val="21"/>
                <w:lang w:eastAsia="en-US" w:bidi="en-US"/>
              </w:rPr>
              <w:t>无凝结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kern w:val="0"/>
                <w:szCs w:val="21"/>
                <w:lang w:eastAsia="en-US"/>
              </w:rPr>
              <w:t>▲</w:t>
            </w:r>
            <w:r>
              <w:rPr>
                <w:rFonts w:hAnsi="宋体"/>
                <w:color w:val="333333"/>
                <w:kern w:val="0"/>
                <w:szCs w:val="21"/>
                <w:lang w:eastAsia="en-US" w:bidi="en-US"/>
              </w:rPr>
              <w:t>使用环境</w:t>
            </w:r>
          </w:p>
        </w:tc>
        <w:tc>
          <w:tcPr>
            <w:tcW w:w="3544" w:type="pct"/>
            <w:shd w:val="clear" w:color="auto" w:fill="FFFFFF"/>
            <w:vAlign w:val="center"/>
          </w:tcPr>
          <w:p>
            <w:pPr>
              <w:autoSpaceDE w:val="0"/>
              <w:autoSpaceDN w:val="0"/>
              <w:jc w:val="center"/>
              <w:rPr>
                <w:kern w:val="0"/>
                <w:szCs w:val="21"/>
                <w:lang w:bidi="en-US"/>
              </w:rPr>
            </w:pPr>
            <w:r>
              <w:rPr>
                <w:rFonts w:hAnsi="宋体"/>
                <w:color w:val="333333"/>
                <w:kern w:val="0"/>
                <w:szCs w:val="21"/>
                <w:lang w:bidi="en-US"/>
              </w:rPr>
              <w:t>温度</w:t>
            </w:r>
            <w:r>
              <w:rPr>
                <w:color w:val="333333"/>
                <w:kern w:val="0"/>
                <w:szCs w:val="21"/>
                <w:lang w:bidi="en-US"/>
              </w:rPr>
              <w:t>-40</w:t>
            </w:r>
            <w:r>
              <w:rPr>
                <w:rFonts w:hAnsi="宋体"/>
                <w:color w:val="333333"/>
                <w:kern w:val="0"/>
                <w:szCs w:val="21"/>
                <w:lang w:bidi="en-US"/>
              </w:rPr>
              <w:t>℃</w:t>
            </w:r>
            <w:r>
              <w:rPr>
                <w:color w:val="333333"/>
                <w:kern w:val="0"/>
                <w:szCs w:val="21"/>
                <w:lang w:bidi="en-US"/>
              </w:rPr>
              <w:t>~+70</w:t>
            </w:r>
            <w:r>
              <w:rPr>
                <w:rFonts w:hAnsi="宋体"/>
                <w:color w:val="333333"/>
                <w:kern w:val="0"/>
                <w:szCs w:val="21"/>
                <w:lang w:bidi="en-US"/>
              </w:rPr>
              <w:t>℃；相对湿度</w:t>
            </w:r>
            <w:r>
              <w:rPr>
                <w:color w:val="333333"/>
                <w:kern w:val="0"/>
                <w:szCs w:val="21"/>
                <w:lang w:bidi="en-US"/>
              </w:rPr>
              <w:t>≤0-99%RH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rFonts w:hAnsi="宋体"/>
                <w:kern w:val="0"/>
                <w:szCs w:val="21"/>
                <w:lang w:eastAsia="en-US"/>
              </w:rPr>
              <w:t>★</w:t>
            </w:r>
            <w:r>
              <w:rPr>
                <w:rFonts w:hAnsi="宋体"/>
                <w:color w:val="333333"/>
                <w:kern w:val="0"/>
                <w:szCs w:val="21"/>
                <w:lang w:eastAsia="en-US" w:bidi="en-US"/>
              </w:rPr>
              <w:t>电池容量</w:t>
            </w:r>
          </w:p>
        </w:tc>
        <w:tc>
          <w:tcPr>
            <w:tcW w:w="3544" w:type="pct"/>
            <w:shd w:val="clear" w:color="auto" w:fill="FFFFFF"/>
            <w:vAlign w:val="center"/>
          </w:tcPr>
          <w:p>
            <w:pPr>
              <w:autoSpaceDE w:val="0"/>
              <w:autoSpaceDN w:val="0"/>
              <w:jc w:val="center"/>
              <w:rPr>
                <w:kern w:val="0"/>
                <w:szCs w:val="21"/>
                <w:lang w:bidi="en-US"/>
              </w:rPr>
            </w:pPr>
            <w:r>
              <w:rPr>
                <w:color w:val="333333"/>
                <w:kern w:val="0"/>
                <w:szCs w:val="21"/>
                <w:lang w:bidi="en-US"/>
              </w:rPr>
              <w:t>3.7VDC</w:t>
            </w:r>
            <w:r>
              <w:rPr>
                <w:rFonts w:hAnsi="宋体"/>
                <w:color w:val="333333"/>
                <w:kern w:val="0"/>
                <w:szCs w:val="21"/>
                <w:lang w:bidi="en-US"/>
              </w:rPr>
              <w:t>，</w:t>
            </w:r>
            <w:r>
              <w:rPr>
                <w:color w:val="333333"/>
                <w:kern w:val="0"/>
                <w:szCs w:val="21"/>
                <w:lang w:bidi="en-US"/>
              </w:rPr>
              <w:t xml:space="preserve">6000mAh </w:t>
            </w:r>
            <w:r>
              <w:rPr>
                <w:rFonts w:hAnsi="宋体"/>
                <w:color w:val="333333"/>
                <w:kern w:val="0"/>
                <w:szCs w:val="21"/>
                <w:lang w:bidi="en-US"/>
              </w:rPr>
              <w:t>大容量电池</w:t>
            </w:r>
            <w:r>
              <w:rPr>
                <w:color w:val="333333"/>
                <w:kern w:val="0"/>
                <w:szCs w:val="21"/>
                <w:lang w:bidi="en-US"/>
              </w:rPr>
              <w:t xml:space="preserve"> ,</w:t>
            </w:r>
            <w:r>
              <w:rPr>
                <w:rFonts w:hAnsi="宋体"/>
                <w:color w:val="333333"/>
                <w:kern w:val="0"/>
                <w:szCs w:val="21"/>
                <w:lang w:bidi="en-US"/>
              </w:rPr>
              <w:t>带过充、过放、过压、过热、短路保护功能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56" w:type="pct"/>
            <w:shd w:val="clear" w:color="auto" w:fill="FFFFFF"/>
            <w:vAlign w:val="center"/>
          </w:tcPr>
          <w:p>
            <w:pPr>
              <w:autoSpaceDE w:val="0"/>
              <w:autoSpaceDN w:val="0"/>
              <w:jc w:val="center"/>
              <w:rPr>
                <w:kern w:val="0"/>
                <w:szCs w:val="21"/>
                <w:lang w:eastAsia="en-US" w:bidi="en-US"/>
              </w:rPr>
            </w:pPr>
            <w:r>
              <w:rPr>
                <w:kern w:val="0"/>
                <w:szCs w:val="21"/>
                <w:lang w:eastAsia="en-US"/>
              </w:rPr>
              <w:t>▲</w:t>
            </w:r>
            <w:r>
              <w:rPr>
                <w:rFonts w:hAnsi="宋体"/>
                <w:color w:val="333333"/>
                <w:kern w:val="0"/>
                <w:szCs w:val="21"/>
                <w:lang w:eastAsia="en-US" w:bidi="en-US"/>
              </w:rPr>
              <w:t>高清彩屏显示</w:t>
            </w:r>
          </w:p>
        </w:tc>
        <w:tc>
          <w:tcPr>
            <w:tcW w:w="3544" w:type="pct"/>
            <w:shd w:val="clear" w:color="auto" w:fill="FFFFFF"/>
            <w:vAlign w:val="center"/>
          </w:tcPr>
          <w:p>
            <w:pPr>
              <w:autoSpaceDE w:val="0"/>
              <w:autoSpaceDN w:val="0"/>
              <w:jc w:val="center"/>
              <w:rPr>
                <w:kern w:val="0"/>
                <w:szCs w:val="21"/>
                <w:lang w:bidi="en-US"/>
              </w:rPr>
            </w:pPr>
            <w:r>
              <w:rPr>
                <w:rFonts w:hAnsi="宋体"/>
                <w:color w:val="333333"/>
                <w:kern w:val="0"/>
                <w:szCs w:val="21"/>
                <w:lang w:bidi="en-US"/>
              </w:rPr>
              <w:t>大屏幕</w:t>
            </w:r>
            <w:r>
              <w:rPr>
                <w:color w:val="333333"/>
                <w:kern w:val="0"/>
                <w:szCs w:val="21"/>
                <w:lang w:bidi="en-US"/>
              </w:rPr>
              <w:t>LCD</w:t>
            </w:r>
            <w:r>
              <w:rPr>
                <w:rFonts w:hAnsi="宋体"/>
                <w:color w:val="333333"/>
                <w:kern w:val="0"/>
                <w:szCs w:val="21"/>
                <w:lang w:bidi="en-US"/>
              </w:rPr>
              <w:t>中文显示、带自动背影灯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1456" w:type="pct"/>
            <w:shd w:val="clear" w:color="auto" w:fill="FFFFFF"/>
            <w:vAlign w:val="center"/>
          </w:tcPr>
          <w:p>
            <w:pPr>
              <w:autoSpaceDE w:val="0"/>
              <w:autoSpaceDN w:val="0"/>
              <w:jc w:val="center"/>
              <w:rPr>
                <w:kern w:val="0"/>
                <w:szCs w:val="21"/>
                <w:lang w:eastAsia="en-US" w:bidi="en-US"/>
              </w:rPr>
            </w:pPr>
            <w:r>
              <w:rPr>
                <w:kern w:val="0"/>
                <w:szCs w:val="21"/>
                <w:lang w:eastAsia="en-US"/>
              </w:rPr>
              <w:t>▲</w:t>
            </w:r>
            <w:r>
              <w:rPr>
                <w:rFonts w:hAnsi="宋体"/>
                <w:color w:val="333333"/>
                <w:kern w:val="0"/>
                <w:szCs w:val="21"/>
                <w:lang w:eastAsia="en-US" w:bidi="en-US"/>
              </w:rPr>
              <w:t>数据存储</w:t>
            </w:r>
          </w:p>
        </w:tc>
        <w:tc>
          <w:tcPr>
            <w:tcW w:w="3544" w:type="pct"/>
            <w:shd w:val="clear" w:color="auto" w:fill="FFFFFF"/>
            <w:vAlign w:val="center"/>
          </w:tcPr>
          <w:p>
            <w:pPr>
              <w:autoSpaceDE w:val="0"/>
              <w:autoSpaceDN w:val="0"/>
              <w:jc w:val="center"/>
              <w:rPr>
                <w:kern w:val="0"/>
                <w:szCs w:val="21"/>
                <w:lang w:bidi="en-US"/>
              </w:rPr>
            </w:pPr>
            <w:r>
              <w:rPr>
                <w:rFonts w:hAnsi="宋体"/>
                <w:color w:val="333333"/>
                <w:kern w:val="0"/>
                <w:szCs w:val="21"/>
                <w:lang w:bidi="en-US"/>
              </w:rPr>
              <w:t>标配</w:t>
            </w:r>
            <w:r>
              <w:rPr>
                <w:color w:val="333333"/>
                <w:kern w:val="0"/>
                <w:szCs w:val="21"/>
                <w:lang w:bidi="en-US"/>
              </w:rPr>
              <w:t xml:space="preserve"> 10 </w:t>
            </w:r>
            <w:r>
              <w:rPr>
                <w:rFonts w:hAnsi="宋体"/>
                <w:color w:val="333333"/>
                <w:kern w:val="0"/>
                <w:szCs w:val="21"/>
                <w:lang w:bidi="en-US"/>
              </w:rPr>
              <w:t>万条数据容量，大容量可订制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1456" w:type="pct"/>
            <w:shd w:val="clear" w:color="auto" w:fill="FFFFFF"/>
            <w:vAlign w:val="center"/>
          </w:tcPr>
          <w:p>
            <w:pPr>
              <w:autoSpaceDE w:val="0"/>
              <w:autoSpaceDN w:val="0"/>
              <w:jc w:val="center"/>
              <w:rPr>
                <w:kern w:val="0"/>
                <w:szCs w:val="21"/>
                <w:lang w:bidi="en-US"/>
              </w:rPr>
            </w:pPr>
          </w:p>
          <w:p>
            <w:pPr>
              <w:autoSpaceDE w:val="0"/>
              <w:autoSpaceDN w:val="0"/>
              <w:jc w:val="center"/>
              <w:rPr>
                <w:kern w:val="0"/>
                <w:szCs w:val="21"/>
                <w:lang w:eastAsia="en-US" w:bidi="en-US"/>
              </w:rPr>
            </w:pPr>
            <w:r>
              <w:rPr>
                <w:kern w:val="0"/>
                <w:szCs w:val="21"/>
                <w:lang w:eastAsia="en-US"/>
              </w:rPr>
              <w:t>▲</w:t>
            </w:r>
            <w:r>
              <w:rPr>
                <w:rFonts w:hAnsi="宋体"/>
                <w:color w:val="333333"/>
                <w:kern w:val="0"/>
                <w:szCs w:val="21"/>
                <w:lang w:eastAsia="en-US" w:bidi="en-US"/>
              </w:rPr>
              <w:t>标准附件：</w:t>
            </w:r>
          </w:p>
        </w:tc>
        <w:tc>
          <w:tcPr>
            <w:tcW w:w="3544" w:type="pct"/>
            <w:shd w:val="clear" w:color="auto" w:fill="FFFFFF"/>
            <w:vAlign w:val="center"/>
          </w:tcPr>
          <w:p>
            <w:pPr>
              <w:autoSpaceDE w:val="0"/>
              <w:autoSpaceDN w:val="0"/>
              <w:jc w:val="center"/>
              <w:rPr>
                <w:kern w:val="0"/>
                <w:szCs w:val="21"/>
                <w:lang w:bidi="en-US"/>
              </w:rPr>
            </w:pPr>
            <w:r>
              <w:rPr>
                <w:rFonts w:hAnsi="宋体"/>
                <w:color w:val="333333"/>
                <w:kern w:val="0"/>
                <w:szCs w:val="21"/>
                <w:lang w:bidi="en-US"/>
              </w:rPr>
              <w:t>说明书、合格证、保修卡、</w:t>
            </w:r>
            <w:r>
              <w:rPr>
                <w:color w:val="333333"/>
                <w:kern w:val="0"/>
                <w:szCs w:val="21"/>
                <w:lang w:bidi="en-US"/>
              </w:rPr>
              <w:t xml:space="preserve">USB </w:t>
            </w:r>
            <w:r>
              <w:rPr>
                <w:rFonts w:hAnsi="宋体"/>
                <w:color w:val="333333"/>
                <w:kern w:val="0"/>
                <w:szCs w:val="21"/>
                <w:lang w:bidi="en-US"/>
              </w:rPr>
              <w:t>充电器（含数据线）；</w:t>
            </w:r>
            <w:r>
              <w:rPr>
                <w:color w:val="333333"/>
                <w:kern w:val="0"/>
                <w:szCs w:val="21"/>
                <w:lang w:bidi="en-US"/>
              </w:rPr>
              <w:t xml:space="preserve"> </w:t>
            </w:r>
            <w:r>
              <w:rPr>
                <w:rFonts w:hAnsi="宋体"/>
                <w:color w:val="333333"/>
                <w:kern w:val="0"/>
                <w:szCs w:val="21"/>
                <w:lang w:bidi="en-US"/>
              </w:rPr>
              <w:t>背夹、湿度粉尘过滤器、高档铝合金仪器箱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522" w:hRule="atLeast"/>
        </w:trPr>
        <w:tc>
          <w:tcPr>
            <w:tcW w:w="5000" w:type="pct"/>
            <w:gridSpan w:val="2"/>
            <w:shd w:val="clear" w:color="auto" w:fill="FFFFFF"/>
            <w:vAlign w:val="center"/>
          </w:tcPr>
          <w:p>
            <w:pPr>
              <w:autoSpaceDE w:val="0"/>
              <w:autoSpaceDN w:val="0"/>
              <w:jc w:val="center"/>
              <w:rPr>
                <w:color w:val="333333"/>
                <w:kern w:val="0"/>
                <w:szCs w:val="21"/>
                <w:lang w:bidi="en-US"/>
              </w:rPr>
            </w:pPr>
            <w:r>
              <w:rPr>
                <w:rFonts w:hAnsi="宋体"/>
                <w:color w:val="333333"/>
                <w:kern w:val="0"/>
                <w:szCs w:val="21"/>
                <w:lang w:bidi="en-US"/>
              </w:rPr>
              <w:t>标气要求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456" w:type="pct"/>
            <w:shd w:val="clear" w:color="auto" w:fill="FFFFFF"/>
            <w:vAlign w:val="center"/>
          </w:tcPr>
          <w:p>
            <w:pPr>
              <w:autoSpaceDE w:val="0"/>
              <w:autoSpaceDN w:val="0"/>
              <w:jc w:val="center"/>
              <w:rPr>
                <w:kern w:val="0"/>
                <w:szCs w:val="21"/>
              </w:rPr>
            </w:pPr>
            <w:r>
              <w:rPr>
                <w:rFonts w:hAnsi="宋体"/>
                <w:kern w:val="0"/>
                <w:szCs w:val="21"/>
              </w:rPr>
              <w:t>标准气</w:t>
            </w:r>
          </w:p>
        </w:tc>
        <w:tc>
          <w:tcPr>
            <w:tcW w:w="3544" w:type="pct"/>
            <w:shd w:val="clear" w:color="auto" w:fill="FFFFFF"/>
            <w:vAlign w:val="center"/>
          </w:tcPr>
          <w:p>
            <w:pPr>
              <w:autoSpaceDE w:val="0"/>
              <w:autoSpaceDN w:val="0"/>
              <w:jc w:val="center"/>
              <w:rPr>
                <w:color w:val="333333"/>
                <w:kern w:val="0"/>
                <w:szCs w:val="21"/>
                <w:lang w:bidi="en-US"/>
              </w:rPr>
            </w:pPr>
            <w:r>
              <w:rPr>
                <w:color w:val="333333"/>
                <w:kern w:val="0"/>
                <w:szCs w:val="21"/>
                <w:lang w:bidi="en-US"/>
              </w:rPr>
              <w:t>10ppm</w:t>
            </w:r>
            <w:r>
              <w:rPr>
                <w:rFonts w:hAnsi="宋体"/>
                <w:color w:val="333333"/>
                <w:kern w:val="0"/>
                <w:szCs w:val="21"/>
                <w:lang w:bidi="en-US"/>
              </w:rPr>
              <w:t>、</w:t>
            </w:r>
            <w:r>
              <w:rPr>
                <w:color w:val="333333"/>
                <w:kern w:val="0"/>
                <w:szCs w:val="21"/>
                <w:lang w:bidi="en-US"/>
              </w:rPr>
              <w:t>100ppm</w:t>
            </w:r>
            <w:r>
              <w:rPr>
                <w:rFonts w:hAnsi="宋体"/>
                <w:color w:val="333333"/>
                <w:kern w:val="0"/>
                <w:szCs w:val="21"/>
                <w:lang w:bidi="en-US"/>
              </w:rPr>
              <w:t>各一瓶，单瓶需能标定至少</w:t>
            </w:r>
            <w:r>
              <w:rPr>
                <w:color w:val="333333"/>
                <w:kern w:val="0"/>
                <w:szCs w:val="21"/>
                <w:lang w:bidi="en-US"/>
              </w:rPr>
              <w:t>300</w:t>
            </w:r>
            <w:r>
              <w:rPr>
                <w:rFonts w:hAnsi="宋体"/>
                <w:color w:val="333333"/>
                <w:kern w:val="0"/>
                <w:szCs w:val="21"/>
                <w:lang w:bidi="en-US"/>
              </w:rPr>
              <w:t>次。</w:t>
            </w:r>
          </w:p>
        </w:tc>
      </w:tr>
    </w:tbl>
    <w:p>
      <w:pPr>
        <w:snapToGrid w:val="0"/>
        <w:spacing w:line="360" w:lineRule="auto"/>
        <w:ind w:firstLine="482" w:firstLineChars="200"/>
        <w:jc w:val="left"/>
        <w:rPr>
          <w:b/>
          <w:color w:val="000000"/>
          <w:sz w:val="24"/>
        </w:rPr>
      </w:pPr>
    </w:p>
    <w:p>
      <w:pPr>
        <w:snapToGrid w:val="0"/>
        <w:spacing w:line="360" w:lineRule="auto"/>
        <w:ind w:firstLine="482" w:firstLineChars="200"/>
        <w:jc w:val="left"/>
        <w:rPr>
          <w:b/>
          <w:color w:val="000000"/>
          <w:sz w:val="24"/>
        </w:rPr>
      </w:pPr>
      <w:r>
        <w:rPr>
          <w:rFonts w:hint="eastAsia"/>
          <w:b/>
          <w:color w:val="000000"/>
          <w:sz w:val="24"/>
        </w:rPr>
        <w:t>2、无人机</w:t>
      </w:r>
    </w:p>
    <w:tbl>
      <w:tblPr>
        <w:tblStyle w:val="18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8"/>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最大上升速度</w:t>
            </w:r>
          </w:p>
        </w:tc>
        <w:tc>
          <w:tcPr>
            <w:tcW w:w="6336" w:type="dxa"/>
            <w:vAlign w:val="center"/>
          </w:tcPr>
          <w:p>
            <w:pPr>
              <w:autoSpaceDE w:val="0"/>
              <w:autoSpaceDN w:val="0"/>
              <w:jc w:val="center"/>
              <w:rPr>
                <w:color w:val="333333"/>
                <w:kern w:val="0"/>
                <w:szCs w:val="21"/>
                <w:lang w:bidi="en-US"/>
              </w:rPr>
            </w:pPr>
            <w:r>
              <w:rPr>
                <w:color w:val="333333"/>
                <w:kern w:val="0"/>
                <w:szCs w:val="21"/>
                <w:lang w:bidi="en-US"/>
              </w:rPr>
              <w:t>4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最大下降速度</w:t>
            </w:r>
          </w:p>
        </w:tc>
        <w:tc>
          <w:tcPr>
            <w:tcW w:w="6336" w:type="dxa"/>
            <w:vAlign w:val="center"/>
          </w:tcPr>
          <w:p>
            <w:pPr>
              <w:jc w:val="center"/>
              <w:rPr>
                <w:kern w:val="0"/>
                <w:szCs w:val="21"/>
              </w:rPr>
            </w:pPr>
            <w:r>
              <w:rPr>
                <w:color w:val="333333"/>
                <w:kern w:val="0"/>
                <w:szCs w:val="21"/>
                <w:lang w:bidi="en-US"/>
              </w:rPr>
              <w:t>3 m/s5m/s</w:t>
            </w:r>
            <w:r>
              <w:rPr>
                <w:rFonts w:hAnsi="宋体"/>
                <w:color w:val="333333"/>
                <w:kern w:val="0"/>
                <w:szCs w:val="21"/>
                <w:lang w:bidi="en-US"/>
              </w:rPr>
              <w:t>（运动档、普通档下的俯冲情况）</w:t>
            </w:r>
            <w:r>
              <w:rPr>
                <w:color w:val="333333"/>
                <w:kern w:val="0"/>
                <w:szCs w:val="21"/>
                <w:lang w:bidi="en-US"/>
              </w:rPr>
              <w:t>4500</w:t>
            </w:r>
            <w:r>
              <w:rPr>
                <w:rFonts w:hAnsi="宋体"/>
                <w:color w:val="333333"/>
                <w:kern w:val="0"/>
                <w:szCs w:val="21"/>
                <w:lang w:bidi="en-US"/>
              </w:rPr>
              <w:t>米以上会限制俯冲速度到</w:t>
            </w:r>
            <w:r>
              <w:rPr>
                <w:color w:val="333333"/>
                <w:kern w:val="0"/>
                <w:szCs w:val="21"/>
                <w:lang w:bidi="en-US"/>
              </w:rPr>
              <w:t>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最大起飞海拔高度</w:t>
            </w:r>
          </w:p>
        </w:tc>
        <w:tc>
          <w:tcPr>
            <w:tcW w:w="6336" w:type="dxa"/>
            <w:vAlign w:val="center"/>
          </w:tcPr>
          <w:p>
            <w:pPr>
              <w:jc w:val="center"/>
              <w:rPr>
                <w:kern w:val="0"/>
                <w:szCs w:val="21"/>
              </w:rPr>
            </w:pPr>
            <w:r>
              <w:rPr>
                <w:kern w:val="0"/>
                <w:szCs w:val="21"/>
              </w:rPr>
              <w:t>5000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最长飞行时间（无风环境）</w:t>
            </w:r>
          </w:p>
        </w:tc>
        <w:tc>
          <w:tcPr>
            <w:tcW w:w="6336" w:type="dxa"/>
            <w:vAlign w:val="center"/>
          </w:tcPr>
          <w:p>
            <w:pPr>
              <w:jc w:val="center"/>
              <w:rPr>
                <w:color w:val="333333"/>
                <w:kern w:val="0"/>
                <w:szCs w:val="21"/>
                <w:lang w:bidi="en-US"/>
              </w:rPr>
            </w:pPr>
            <w:r>
              <w:rPr>
                <w:color w:val="333333"/>
                <w:kern w:val="0"/>
                <w:szCs w:val="21"/>
                <w:lang w:bidi="en-US"/>
              </w:rPr>
              <w:t xml:space="preserve">34 </w:t>
            </w:r>
            <w:r>
              <w:rPr>
                <w:rFonts w:hAnsi="宋体"/>
                <w:color w:val="333333"/>
                <w:kern w:val="0"/>
                <w:szCs w:val="21"/>
                <w:lang w:bidi="en-US"/>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最长悬停时间（无风环境）</w:t>
            </w:r>
          </w:p>
        </w:tc>
        <w:tc>
          <w:tcPr>
            <w:tcW w:w="6336" w:type="dxa"/>
            <w:vAlign w:val="center"/>
          </w:tcPr>
          <w:p>
            <w:pPr>
              <w:jc w:val="center"/>
              <w:rPr>
                <w:color w:val="333333"/>
                <w:kern w:val="0"/>
                <w:szCs w:val="21"/>
                <w:lang w:bidi="en-US"/>
              </w:rPr>
            </w:pPr>
            <w:r>
              <w:rPr>
                <w:color w:val="333333"/>
                <w:kern w:val="0"/>
                <w:szCs w:val="21"/>
                <w:lang w:bidi="en-US"/>
              </w:rPr>
              <w:t xml:space="preserve">33 </w:t>
            </w:r>
            <w:r>
              <w:rPr>
                <w:rFonts w:hAnsi="宋体"/>
                <w:color w:val="333333"/>
                <w:kern w:val="0"/>
                <w:szCs w:val="21"/>
                <w:lang w:bidi="en-US"/>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最大续航里程</w:t>
            </w:r>
          </w:p>
        </w:tc>
        <w:tc>
          <w:tcPr>
            <w:tcW w:w="6336" w:type="dxa"/>
            <w:vAlign w:val="center"/>
          </w:tcPr>
          <w:p>
            <w:pPr>
              <w:jc w:val="center"/>
              <w:rPr>
                <w:color w:val="333333"/>
                <w:kern w:val="0"/>
                <w:szCs w:val="21"/>
                <w:lang w:bidi="en-US"/>
              </w:rPr>
            </w:pPr>
            <w:r>
              <w:rPr>
                <w:color w:val="333333"/>
                <w:kern w:val="0"/>
                <w:szCs w:val="21"/>
                <w:lang w:bidi="en-US"/>
              </w:rPr>
              <w:t>18.5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最大水平飞行速度</w:t>
            </w:r>
          </w:p>
        </w:tc>
        <w:tc>
          <w:tcPr>
            <w:tcW w:w="6336" w:type="dxa"/>
            <w:vAlign w:val="center"/>
          </w:tcPr>
          <w:p>
            <w:pPr>
              <w:jc w:val="center"/>
              <w:rPr>
                <w:color w:val="333333"/>
                <w:kern w:val="0"/>
                <w:szCs w:val="21"/>
                <w:lang w:bidi="en-US"/>
              </w:rPr>
            </w:pPr>
            <w:r>
              <w:rPr>
                <w:color w:val="333333"/>
                <w:kern w:val="0"/>
                <w:szCs w:val="21"/>
                <w:lang w:bidi="en-US"/>
              </w:rPr>
              <w:t>19 m/s (</w:t>
            </w:r>
            <w:r>
              <w:rPr>
                <w:rFonts w:hAnsi="宋体"/>
                <w:color w:val="333333"/>
                <w:kern w:val="0"/>
                <w:szCs w:val="21"/>
                <w:lang w:bidi="en-US"/>
              </w:rPr>
              <w:t>运动档</w:t>
            </w:r>
            <w:r>
              <w:rPr>
                <w:color w:val="333333"/>
                <w:kern w:val="0"/>
                <w:szCs w:val="21"/>
                <w:lang w:bidi="en-US"/>
              </w:rPr>
              <w:t>)</w:t>
            </w:r>
          </w:p>
          <w:p>
            <w:pPr>
              <w:jc w:val="center"/>
              <w:rPr>
                <w:color w:val="333333"/>
                <w:kern w:val="0"/>
                <w:szCs w:val="21"/>
                <w:lang w:bidi="en-US"/>
              </w:rPr>
            </w:pPr>
            <w:r>
              <w:rPr>
                <w:color w:val="333333"/>
                <w:kern w:val="0"/>
                <w:szCs w:val="21"/>
                <w:lang w:bidi="en-US"/>
              </w:rPr>
              <w:t>12 m/s (</w:t>
            </w:r>
            <w:r>
              <w:rPr>
                <w:rFonts w:hAnsi="宋体"/>
                <w:color w:val="333333"/>
                <w:kern w:val="0"/>
                <w:szCs w:val="21"/>
                <w:lang w:bidi="en-US"/>
              </w:rPr>
              <w:t>普通档</w:t>
            </w:r>
            <w:r>
              <w:rPr>
                <w:color w:val="333333"/>
                <w:kern w:val="0"/>
                <w:szCs w:val="21"/>
                <w:lang w:bidi="en-US"/>
              </w:rPr>
              <w:t>)</w:t>
            </w:r>
          </w:p>
          <w:p>
            <w:pPr>
              <w:jc w:val="center"/>
              <w:rPr>
                <w:color w:val="333333"/>
                <w:kern w:val="0"/>
                <w:szCs w:val="21"/>
                <w:lang w:bidi="en-US"/>
              </w:rPr>
            </w:pPr>
            <w:r>
              <w:rPr>
                <w:color w:val="333333"/>
                <w:kern w:val="0"/>
                <w:szCs w:val="21"/>
                <w:lang w:bidi="en-US"/>
              </w:rPr>
              <w:t>5 m/s (</w:t>
            </w:r>
            <w:r>
              <w:rPr>
                <w:rFonts w:hAnsi="宋体"/>
                <w:color w:val="333333"/>
                <w:kern w:val="0"/>
                <w:szCs w:val="21"/>
                <w:lang w:bidi="en-US"/>
              </w:rPr>
              <w:t>三脚架模式</w:t>
            </w:r>
            <w:r>
              <w:rPr>
                <w:color w:val="333333"/>
                <w:kern w:val="0"/>
                <w:szCs w:val="21"/>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最大抗风等级</w:t>
            </w:r>
          </w:p>
        </w:tc>
        <w:tc>
          <w:tcPr>
            <w:tcW w:w="6336" w:type="dxa"/>
            <w:vAlign w:val="center"/>
          </w:tcPr>
          <w:p>
            <w:pPr>
              <w:jc w:val="center"/>
              <w:rPr>
                <w:color w:val="333333"/>
                <w:kern w:val="0"/>
                <w:szCs w:val="21"/>
                <w:lang w:bidi="en-US"/>
              </w:rPr>
            </w:pPr>
            <w:r>
              <w:rPr>
                <w:color w:val="333333"/>
                <w:kern w:val="0"/>
                <w:szCs w:val="21"/>
                <w:lang w:bidi="en-US"/>
              </w:rPr>
              <w:t xml:space="preserve">5 </w:t>
            </w:r>
            <w:r>
              <w:rPr>
                <w:rFonts w:hAnsi="宋体"/>
                <w:color w:val="333333"/>
                <w:kern w:val="0"/>
                <w:szCs w:val="21"/>
                <w:lang w:bidi="en-US"/>
              </w:rPr>
              <w:t>级风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最大可倾斜角度</w:t>
            </w:r>
          </w:p>
        </w:tc>
        <w:tc>
          <w:tcPr>
            <w:tcW w:w="6336" w:type="dxa"/>
            <w:vAlign w:val="center"/>
          </w:tcPr>
          <w:p>
            <w:pPr>
              <w:jc w:val="center"/>
              <w:rPr>
                <w:color w:val="333333"/>
                <w:kern w:val="0"/>
                <w:szCs w:val="21"/>
                <w:lang w:bidi="en-US"/>
              </w:rPr>
            </w:pPr>
            <w:r>
              <w:rPr>
                <w:color w:val="333333"/>
                <w:kern w:val="0"/>
                <w:szCs w:val="21"/>
                <w:lang w:bidi="en-US"/>
              </w:rPr>
              <w:t>35°(</w:t>
            </w:r>
            <w:r>
              <w:rPr>
                <w:rFonts w:hAnsi="宋体"/>
                <w:color w:val="333333"/>
                <w:kern w:val="0"/>
                <w:szCs w:val="21"/>
                <w:lang w:bidi="en-US"/>
              </w:rPr>
              <w:t>运动档</w:t>
            </w:r>
            <w:r>
              <w:rPr>
                <w:color w:val="333333"/>
                <w:kern w:val="0"/>
                <w:szCs w:val="21"/>
                <w:lang w:bidi="en-US"/>
              </w:rPr>
              <w:t>)</w:t>
            </w:r>
          </w:p>
          <w:p>
            <w:pPr>
              <w:jc w:val="center"/>
              <w:rPr>
                <w:color w:val="333333"/>
                <w:kern w:val="0"/>
                <w:szCs w:val="21"/>
                <w:lang w:bidi="en-US"/>
              </w:rPr>
            </w:pPr>
            <w:r>
              <w:rPr>
                <w:color w:val="333333"/>
                <w:kern w:val="0"/>
                <w:szCs w:val="21"/>
                <w:lang w:bidi="en-US"/>
              </w:rPr>
              <w:t>20°(</w:t>
            </w:r>
            <w:r>
              <w:rPr>
                <w:rFonts w:hAnsi="宋体"/>
                <w:color w:val="333333"/>
                <w:kern w:val="0"/>
                <w:szCs w:val="21"/>
                <w:lang w:bidi="en-US"/>
              </w:rPr>
              <w:t>普通档</w:t>
            </w:r>
            <w:r>
              <w:rPr>
                <w:color w:val="333333"/>
                <w:kern w:val="0"/>
                <w:szCs w:val="21"/>
                <w:lang w:bidi="en-US"/>
              </w:rPr>
              <w:t>)*</w:t>
            </w:r>
          </w:p>
          <w:p>
            <w:pPr>
              <w:jc w:val="center"/>
              <w:rPr>
                <w:color w:val="333333"/>
                <w:kern w:val="0"/>
                <w:szCs w:val="21"/>
                <w:lang w:bidi="en-US"/>
              </w:rPr>
            </w:pPr>
            <w:r>
              <w:rPr>
                <w:color w:val="333333"/>
                <w:kern w:val="0"/>
                <w:szCs w:val="21"/>
                <w:lang w:bidi="en-US"/>
              </w:rPr>
              <w:t xml:space="preserve">* </w:t>
            </w:r>
            <w:r>
              <w:rPr>
                <w:rFonts w:hAnsi="宋体"/>
                <w:color w:val="333333"/>
                <w:kern w:val="0"/>
                <w:szCs w:val="21"/>
                <w:lang w:bidi="en-US"/>
              </w:rPr>
              <w:t>强风下到</w:t>
            </w:r>
            <w:r>
              <w:rPr>
                <w:color w:val="333333"/>
                <w:kern w:val="0"/>
                <w:szCs w:val="21"/>
                <w:lang w:bidi="en-US"/>
              </w:rPr>
              <w:t xml:space="preserv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最大旋转角速度</w:t>
            </w:r>
          </w:p>
        </w:tc>
        <w:tc>
          <w:tcPr>
            <w:tcW w:w="6336" w:type="dxa"/>
            <w:vAlign w:val="center"/>
          </w:tcPr>
          <w:p>
            <w:pPr>
              <w:jc w:val="center"/>
              <w:rPr>
                <w:color w:val="333333"/>
                <w:kern w:val="0"/>
                <w:szCs w:val="21"/>
                <w:lang w:bidi="en-US"/>
              </w:rPr>
            </w:pPr>
            <w:r>
              <w:rPr>
                <w:color w:val="333333"/>
                <w:kern w:val="0"/>
                <w:szCs w:val="21"/>
                <w:lang w:bidi="en-US"/>
              </w:rPr>
              <w:t>250°/s (</w:t>
            </w:r>
            <w:r>
              <w:rPr>
                <w:rFonts w:hAnsi="宋体"/>
                <w:color w:val="333333"/>
                <w:kern w:val="0"/>
                <w:szCs w:val="21"/>
                <w:lang w:bidi="en-US"/>
              </w:rPr>
              <w:t>运动档</w:t>
            </w:r>
            <w:r>
              <w:rPr>
                <w:color w:val="333333"/>
                <w:kern w:val="0"/>
                <w:szCs w:val="21"/>
                <w:lang w:bidi="en-US"/>
              </w:rPr>
              <w:t>)</w:t>
            </w:r>
          </w:p>
          <w:p>
            <w:pPr>
              <w:jc w:val="center"/>
              <w:rPr>
                <w:color w:val="333333"/>
                <w:kern w:val="0"/>
                <w:szCs w:val="21"/>
                <w:lang w:bidi="en-US"/>
              </w:rPr>
            </w:pPr>
            <w:r>
              <w:rPr>
                <w:color w:val="333333"/>
                <w:kern w:val="0"/>
                <w:szCs w:val="21"/>
                <w:lang w:bidi="en-US"/>
              </w:rPr>
              <w:t>250°/s (</w:t>
            </w:r>
            <w:r>
              <w:rPr>
                <w:rFonts w:hAnsi="宋体"/>
                <w:color w:val="333333"/>
                <w:kern w:val="0"/>
                <w:szCs w:val="21"/>
                <w:lang w:bidi="en-US"/>
              </w:rPr>
              <w:t>普通档</w:t>
            </w:r>
            <w:r>
              <w:rPr>
                <w:color w:val="333333"/>
                <w:kern w:val="0"/>
                <w:szCs w:val="21"/>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工作环境温度</w:t>
            </w:r>
          </w:p>
        </w:tc>
        <w:tc>
          <w:tcPr>
            <w:tcW w:w="6336" w:type="dxa"/>
            <w:vAlign w:val="center"/>
          </w:tcPr>
          <w:p>
            <w:pPr>
              <w:jc w:val="center"/>
              <w:rPr>
                <w:color w:val="333333"/>
                <w:kern w:val="0"/>
                <w:szCs w:val="21"/>
                <w:lang w:bidi="en-US"/>
              </w:rPr>
            </w:pPr>
            <w:r>
              <w:rPr>
                <w:color w:val="333333"/>
                <w:kern w:val="0"/>
                <w:szCs w:val="21"/>
                <w:lang w:bidi="en-US"/>
              </w:rPr>
              <w:t xml:space="preserve">-10°C </w:t>
            </w:r>
            <w:r>
              <w:rPr>
                <w:rFonts w:hAnsi="宋体"/>
                <w:color w:val="333333"/>
                <w:kern w:val="0"/>
                <w:szCs w:val="21"/>
                <w:lang w:bidi="en-US"/>
              </w:rPr>
              <w:t>至</w:t>
            </w:r>
            <w:r>
              <w:rPr>
                <w:color w:val="333333"/>
                <w:kern w:val="0"/>
                <w:szCs w:val="21"/>
                <w:lang w:bidi="en-US"/>
              </w:rPr>
              <w:t xml:space="preserve"> 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工作频率</w:t>
            </w:r>
          </w:p>
        </w:tc>
        <w:tc>
          <w:tcPr>
            <w:tcW w:w="6336" w:type="dxa"/>
            <w:vAlign w:val="center"/>
          </w:tcPr>
          <w:p>
            <w:pPr>
              <w:jc w:val="center"/>
              <w:rPr>
                <w:color w:val="333333"/>
                <w:kern w:val="0"/>
                <w:szCs w:val="21"/>
                <w:lang w:bidi="en-US"/>
              </w:rPr>
            </w:pPr>
            <w:r>
              <w:rPr>
                <w:color w:val="333333"/>
                <w:kern w:val="0"/>
                <w:szCs w:val="21"/>
                <w:lang w:bidi="en-US"/>
              </w:rPr>
              <w:t>2.400-2.4835 GHz</w:t>
            </w:r>
          </w:p>
          <w:p>
            <w:pPr>
              <w:jc w:val="center"/>
              <w:rPr>
                <w:color w:val="333333"/>
                <w:kern w:val="0"/>
                <w:szCs w:val="21"/>
                <w:lang w:bidi="en-US"/>
              </w:rPr>
            </w:pPr>
            <w:r>
              <w:rPr>
                <w:color w:val="333333"/>
                <w:kern w:val="0"/>
                <w:szCs w:val="21"/>
                <w:lang w:bidi="en-US"/>
              </w:rPr>
              <w:t>5.725-5.850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发射功率（</w:t>
            </w:r>
            <w:r>
              <w:rPr>
                <w:color w:val="333333"/>
                <w:kern w:val="0"/>
                <w:szCs w:val="21"/>
                <w:lang w:bidi="en-US"/>
              </w:rPr>
              <w:t>EIRP</w:t>
            </w:r>
            <w:r>
              <w:rPr>
                <w:rFonts w:hAnsi="宋体"/>
                <w:color w:val="333333"/>
                <w:kern w:val="0"/>
                <w:szCs w:val="21"/>
                <w:lang w:bidi="en-US"/>
              </w:rPr>
              <w:t>）</w:t>
            </w:r>
          </w:p>
        </w:tc>
        <w:tc>
          <w:tcPr>
            <w:tcW w:w="6336" w:type="dxa"/>
            <w:vAlign w:val="center"/>
          </w:tcPr>
          <w:p>
            <w:pPr>
              <w:jc w:val="center"/>
              <w:rPr>
                <w:color w:val="333333"/>
                <w:kern w:val="0"/>
                <w:szCs w:val="21"/>
                <w:lang w:bidi="en-US"/>
              </w:rPr>
            </w:pPr>
            <w:r>
              <w:rPr>
                <w:color w:val="333333"/>
                <w:kern w:val="0"/>
                <w:szCs w:val="21"/>
                <w:lang w:bidi="en-US"/>
              </w:rPr>
              <w:t>2.400-2.4835 GHz:</w:t>
            </w:r>
          </w:p>
          <w:p>
            <w:pPr>
              <w:jc w:val="center"/>
              <w:rPr>
                <w:color w:val="333333"/>
                <w:kern w:val="0"/>
                <w:szCs w:val="21"/>
                <w:lang w:bidi="en-US"/>
              </w:rPr>
            </w:pPr>
            <w:r>
              <w:rPr>
                <w:color w:val="333333"/>
                <w:kern w:val="0"/>
                <w:szCs w:val="21"/>
                <w:lang w:bidi="en-US"/>
              </w:rPr>
              <w:t>FCC: ≤26 dBm</w:t>
            </w:r>
          </w:p>
          <w:p>
            <w:pPr>
              <w:jc w:val="center"/>
              <w:rPr>
                <w:color w:val="333333"/>
                <w:kern w:val="0"/>
                <w:szCs w:val="21"/>
                <w:lang w:bidi="en-US"/>
              </w:rPr>
            </w:pPr>
            <w:r>
              <w:rPr>
                <w:color w:val="333333"/>
                <w:kern w:val="0"/>
                <w:szCs w:val="21"/>
                <w:lang w:bidi="en-US"/>
              </w:rPr>
              <w:t>CE: ≤20 dBm</w:t>
            </w:r>
          </w:p>
          <w:p>
            <w:pPr>
              <w:jc w:val="center"/>
              <w:rPr>
                <w:color w:val="333333"/>
                <w:kern w:val="0"/>
                <w:szCs w:val="21"/>
                <w:lang w:bidi="en-US"/>
              </w:rPr>
            </w:pPr>
            <w:r>
              <w:rPr>
                <w:color w:val="333333"/>
                <w:kern w:val="0"/>
                <w:szCs w:val="21"/>
                <w:lang w:bidi="en-US"/>
              </w:rPr>
              <w:t>SRRC: ≤20 dBm</w:t>
            </w:r>
          </w:p>
          <w:p>
            <w:pPr>
              <w:jc w:val="center"/>
              <w:rPr>
                <w:color w:val="333333"/>
                <w:kern w:val="0"/>
                <w:szCs w:val="21"/>
                <w:lang w:bidi="en-US"/>
              </w:rPr>
            </w:pPr>
            <w:r>
              <w:rPr>
                <w:color w:val="333333"/>
                <w:kern w:val="0"/>
                <w:szCs w:val="21"/>
                <w:lang w:bidi="en-US"/>
              </w:rPr>
              <w:t>MIC: ≤20 dBm</w:t>
            </w:r>
          </w:p>
          <w:p>
            <w:pPr>
              <w:jc w:val="center"/>
              <w:rPr>
                <w:color w:val="333333"/>
                <w:kern w:val="0"/>
                <w:szCs w:val="21"/>
                <w:lang w:bidi="en-US"/>
              </w:rPr>
            </w:pPr>
          </w:p>
          <w:p>
            <w:pPr>
              <w:jc w:val="center"/>
              <w:rPr>
                <w:color w:val="333333"/>
                <w:kern w:val="0"/>
                <w:szCs w:val="21"/>
                <w:lang w:bidi="en-US"/>
              </w:rPr>
            </w:pPr>
            <w:r>
              <w:rPr>
                <w:color w:val="333333"/>
                <w:kern w:val="0"/>
                <w:szCs w:val="21"/>
                <w:lang w:bidi="en-US"/>
              </w:rPr>
              <w:t>5.725-5.850 GHz:</w:t>
            </w:r>
          </w:p>
          <w:p>
            <w:pPr>
              <w:jc w:val="center"/>
              <w:rPr>
                <w:color w:val="333333"/>
                <w:kern w:val="0"/>
                <w:szCs w:val="21"/>
                <w:lang w:bidi="en-US"/>
              </w:rPr>
            </w:pPr>
            <w:r>
              <w:rPr>
                <w:color w:val="333333"/>
                <w:kern w:val="0"/>
                <w:szCs w:val="21"/>
                <w:lang w:bidi="en-US"/>
              </w:rPr>
              <w:t>FCC: ≤26 dBm</w:t>
            </w:r>
          </w:p>
          <w:p>
            <w:pPr>
              <w:jc w:val="center"/>
              <w:rPr>
                <w:color w:val="333333"/>
                <w:kern w:val="0"/>
                <w:szCs w:val="21"/>
                <w:lang w:bidi="en-US"/>
              </w:rPr>
            </w:pPr>
            <w:r>
              <w:rPr>
                <w:color w:val="333333"/>
                <w:kern w:val="0"/>
                <w:szCs w:val="21"/>
                <w:lang w:bidi="en-US"/>
              </w:rPr>
              <w:t>CE: ≤14 dBm</w:t>
            </w:r>
          </w:p>
          <w:p>
            <w:pPr>
              <w:jc w:val="center"/>
              <w:rPr>
                <w:color w:val="333333"/>
                <w:kern w:val="0"/>
                <w:szCs w:val="21"/>
                <w:lang w:bidi="en-US"/>
              </w:rPr>
            </w:pPr>
            <w:r>
              <w:rPr>
                <w:color w:val="333333"/>
                <w:kern w:val="0"/>
                <w:szCs w:val="21"/>
                <w:lang w:bidi="en-US"/>
              </w:rPr>
              <w:t>SRRC: ≤26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悬停精度</w:t>
            </w:r>
          </w:p>
        </w:tc>
        <w:tc>
          <w:tcPr>
            <w:tcW w:w="6336" w:type="dxa"/>
            <w:vAlign w:val="center"/>
          </w:tcPr>
          <w:p>
            <w:pPr>
              <w:jc w:val="center"/>
              <w:rPr>
                <w:color w:val="333333"/>
                <w:kern w:val="0"/>
                <w:szCs w:val="21"/>
                <w:lang w:bidi="en-US"/>
              </w:rPr>
            </w:pPr>
            <w:r>
              <w:rPr>
                <w:rFonts w:hAnsi="宋体"/>
                <w:color w:val="333333"/>
                <w:kern w:val="0"/>
                <w:szCs w:val="21"/>
                <w:lang w:bidi="en-US"/>
              </w:rPr>
              <w:t>垂直：</w:t>
            </w:r>
          </w:p>
          <w:p>
            <w:pPr>
              <w:jc w:val="center"/>
              <w:rPr>
                <w:color w:val="333333"/>
                <w:kern w:val="0"/>
                <w:szCs w:val="21"/>
                <w:lang w:bidi="en-US"/>
              </w:rPr>
            </w:pPr>
            <w:r>
              <w:rPr>
                <w:color w:val="333333"/>
                <w:kern w:val="0"/>
                <w:szCs w:val="21"/>
                <w:lang w:bidi="en-US"/>
              </w:rPr>
              <w:t>± 0.1 m (</w:t>
            </w:r>
            <w:r>
              <w:rPr>
                <w:rFonts w:hAnsi="宋体"/>
                <w:color w:val="333333"/>
                <w:kern w:val="0"/>
                <w:szCs w:val="21"/>
                <w:lang w:bidi="en-US"/>
              </w:rPr>
              <w:t>视觉定位正常工作时</w:t>
            </w:r>
            <w:r>
              <w:rPr>
                <w:color w:val="333333"/>
                <w:kern w:val="0"/>
                <w:szCs w:val="21"/>
                <w:lang w:bidi="en-US"/>
              </w:rPr>
              <w:t>)</w:t>
            </w:r>
          </w:p>
          <w:p>
            <w:pPr>
              <w:jc w:val="center"/>
              <w:rPr>
                <w:color w:val="333333"/>
                <w:kern w:val="0"/>
                <w:szCs w:val="21"/>
                <w:lang w:bidi="en-US"/>
              </w:rPr>
            </w:pPr>
            <w:r>
              <w:rPr>
                <w:color w:val="333333"/>
                <w:kern w:val="0"/>
                <w:szCs w:val="21"/>
                <w:lang w:bidi="en-US"/>
              </w:rPr>
              <w:t xml:space="preserve">± 0.5 m (GPS </w:t>
            </w:r>
            <w:r>
              <w:rPr>
                <w:rFonts w:hAnsi="宋体"/>
                <w:color w:val="333333"/>
                <w:kern w:val="0"/>
                <w:szCs w:val="21"/>
                <w:lang w:bidi="en-US"/>
              </w:rPr>
              <w:t>正常工作时</w:t>
            </w:r>
            <w:r>
              <w:rPr>
                <w:color w:val="333333"/>
                <w:kern w:val="0"/>
                <w:szCs w:val="21"/>
                <w:lang w:bidi="en-US"/>
              </w:rPr>
              <w:t>)</w:t>
            </w:r>
          </w:p>
          <w:p>
            <w:pPr>
              <w:jc w:val="center"/>
              <w:rPr>
                <w:color w:val="333333"/>
                <w:kern w:val="0"/>
                <w:szCs w:val="21"/>
                <w:lang w:bidi="en-US"/>
              </w:rPr>
            </w:pPr>
            <w:r>
              <w:rPr>
                <w:rFonts w:hAnsi="宋体"/>
                <w:color w:val="333333"/>
                <w:kern w:val="0"/>
                <w:szCs w:val="21"/>
                <w:lang w:bidi="en-US"/>
              </w:rPr>
              <w:t>水平：</w:t>
            </w:r>
          </w:p>
          <w:p>
            <w:pPr>
              <w:jc w:val="center"/>
              <w:rPr>
                <w:color w:val="333333"/>
                <w:kern w:val="0"/>
                <w:szCs w:val="21"/>
                <w:lang w:bidi="en-US"/>
              </w:rPr>
            </w:pPr>
            <w:r>
              <w:rPr>
                <w:color w:val="333333"/>
                <w:kern w:val="0"/>
                <w:szCs w:val="21"/>
                <w:lang w:bidi="en-US"/>
              </w:rPr>
              <w:t>± 0.1 m (</w:t>
            </w:r>
            <w:r>
              <w:rPr>
                <w:rFonts w:hAnsi="宋体"/>
                <w:color w:val="333333"/>
                <w:kern w:val="0"/>
                <w:szCs w:val="21"/>
                <w:lang w:bidi="en-US"/>
              </w:rPr>
              <w:t>视觉定位正常工作时</w:t>
            </w:r>
            <w:r>
              <w:rPr>
                <w:color w:val="333333"/>
                <w:kern w:val="0"/>
                <w:szCs w:val="21"/>
                <w:lang w:bidi="en-US"/>
              </w:rPr>
              <w:t>)</w:t>
            </w:r>
          </w:p>
          <w:p>
            <w:pPr>
              <w:jc w:val="center"/>
              <w:rPr>
                <w:color w:val="333333"/>
                <w:kern w:val="0"/>
                <w:szCs w:val="21"/>
                <w:lang w:bidi="en-US"/>
              </w:rPr>
            </w:pPr>
            <w:r>
              <w:rPr>
                <w:color w:val="333333"/>
                <w:kern w:val="0"/>
                <w:szCs w:val="21"/>
                <w:lang w:bidi="en-US"/>
              </w:rPr>
              <w:t xml:space="preserve">± 1.5 m (GPS </w:t>
            </w:r>
            <w:r>
              <w:rPr>
                <w:rFonts w:hAnsi="宋体"/>
                <w:color w:val="333333"/>
                <w:kern w:val="0"/>
                <w:szCs w:val="21"/>
                <w:lang w:bidi="en-US"/>
              </w:rPr>
              <w:t>正常工作时</w:t>
            </w:r>
            <w:r>
              <w:rPr>
                <w:color w:val="333333"/>
                <w:kern w:val="0"/>
                <w:szCs w:val="21"/>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机载内存</w:t>
            </w:r>
          </w:p>
        </w:tc>
        <w:tc>
          <w:tcPr>
            <w:tcW w:w="6336" w:type="dxa"/>
            <w:vAlign w:val="center"/>
          </w:tcPr>
          <w:p>
            <w:pPr>
              <w:autoSpaceDE w:val="0"/>
              <w:autoSpaceDN w:val="0"/>
              <w:jc w:val="center"/>
              <w:rPr>
                <w:color w:val="333333"/>
                <w:kern w:val="0"/>
                <w:szCs w:val="21"/>
                <w:lang w:bidi="en-US"/>
              </w:rPr>
            </w:pPr>
            <w:r>
              <w:rPr>
                <w:color w:val="333333"/>
                <w:kern w:val="0"/>
                <w:szCs w:val="21"/>
                <w:lang w:bidi="en-US"/>
              </w:rPr>
              <w:t>8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电池</w:t>
            </w:r>
          </w:p>
        </w:tc>
        <w:tc>
          <w:tcPr>
            <w:tcW w:w="6336" w:type="dxa"/>
            <w:vAlign w:val="center"/>
          </w:tcPr>
          <w:p>
            <w:pPr>
              <w:jc w:val="center"/>
              <w:rPr>
                <w:color w:val="333333"/>
                <w:kern w:val="0"/>
                <w:szCs w:val="21"/>
                <w:lang w:bidi="en-US"/>
              </w:rPr>
            </w:pPr>
            <w:r>
              <w:rPr>
                <w:rFonts w:hAnsi="宋体"/>
                <w:color w:val="333333"/>
                <w:kern w:val="0"/>
                <w:szCs w:val="21"/>
                <w:lang w:bidi="en-US"/>
              </w:rPr>
              <w:t>容量</w:t>
            </w:r>
            <w:r>
              <w:rPr>
                <w:color w:val="333333"/>
                <w:kern w:val="0"/>
                <w:szCs w:val="21"/>
                <w:lang w:bidi="en-US"/>
              </w:rPr>
              <w:t>3500 mAh</w:t>
            </w:r>
          </w:p>
          <w:p>
            <w:pPr>
              <w:jc w:val="center"/>
              <w:rPr>
                <w:color w:val="333333"/>
                <w:kern w:val="0"/>
                <w:szCs w:val="21"/>
                <w:lang w:bidi="en-US"/>
              </w:rPr>
            </w:pPr>
            <w:r>
              <w:rPr>
                <w:rFonts w:hAnsi="宋体"/>
                <w:color w:val="333333"/>
                <w:kern w:val="0"/>
                <w:szCs w:val="21"/>
                <w:lang w:bidi="en-US"/>
              </w:rPr>
              <w:t>标称电压</w:t>
            </w:r>
            <w:r>
              <w:rPr>
                <w:color w:val="333333"/>
                <w:kern w:val="0"/>
                <w:szCs w:val="21"/>
                <w:lang w:bidi="en-US"/>
              </w:rPr>
              <w:t>11.55 V</w:t>
            </w:r>
          </w:p>
          <w:p>
            <w:pPr>
              <w:jc w:val="center"/>
              <w:rPr>
                <w:color w:val="333333"/>
                <w:kern w:val="0"/>
                <w:szCs w:val="21"/>
                <w:lang w:bidi="en-US"/>
              </w:rPr>
            </w:pPr>
            <w:r>
              <w:rPr>
                <w:rFonts w:hAnsi="宋体"/>
                <w:color w:val="333333"/>
                <w:kern w:val="0"/>
                <w:szCs w:val="21"/>
                <w:lang w:bidi="en-US"/>
              </w:rPr>
              <w:t>充电限制电压</w:t>
            </w:r>
            <w:r>
              <w:rPr>
                <w:color w:val="333333"/>
                <w:kern w:val="0"/>
                <w:szCs w:val="21"/>
                <w:lang w:bidi="en-US"/>
              </w:rPr>
              <w:t>13.2 V</w:t>
            </w:r>
          </w:p>
          <w:p>
            <w:pPr>
              <w:jc w:val="center"/>
              <w:rPr>
                <w:color w:val="333333"/>
                <w:kern w:val="0"/>
                <w:szCs w:val="21"/>
                <w:lang w:bidi="en-US"/>
              </w:rPr>
            </w:pPr>
            <w:r>
              <w:rPr>
                <w:rFonts w:hAnsi="宋体"/>
                <w:color w:val="333333"/>
                <w:kern w:val="0"/>
                <w:szCs w:val="21"/>
                <w:lang w:bidi="en-US"/>
              </w:rPr>
              <w:t>电池类型</w:t>
            </w:r>
            <w:r>
              <w:rPr>
                <w:color w:val="333333"/>
                <w:kern w:val="0"/>
                <w:szCs w:val="21"/>
                <w:lang w:bidi="en-US"/>
              </w:rPr>
              <w:t>LiPo 3S</w:t>
            </w:r>
          </w:p>
          <w:p>
            <w:pPr>
              <w:jc w:val="center"/>
              <w:rPr>
                <w:color w:val="333333"/>
                <w:kern w:val="0"/>
                <w:szCs w:val="21"/>
                <w:lang w:bidi="en-US"/>
              </w:rPr>
            </w:pPr>
            <w:r>
              <w:rPr>
                <w:rFonts w:hAnsi="宋体"/>
                <w:color w:val="333333"/>
                <w:kern w:val="0"/>
                <w:szCs w:val="21"/>
                <w:lang w:bidi="en-US"/>
              </w:rPr>
              <w:t>能量</w:t>
            </w:r>
            <w:r>
              <w:rPr>
                <w:color w:val="333333"/>
                <w:kern w:val="0"/>
                <w:szCs w:val="21"/>
                <w:lang w:bidi="en-US"/>
              </w:rPr>
              <w:t>40.42 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color w:val="333333"/>
                <w:kern w:val="0"/>
                <w:szCs w:val="21"/>
                <w:lang w:bidi="en-US"/>
              </w:rPr>
              <w:t>ISO</w:t>
            </w:r>
            <w:r>
              <w:rPr>
                <w:rFonts w:hAnsi="宋体"/>
                <w:color w:val="333333"/>
                <w:kern w:val="0"/>
                <w:szCs w:val="21"/>
                <w:lang w:bidi="en-US"/>
              </w:rPr>
              <w:t>范围</w:t>
            </w:r>
          </w:p>
        </w:tc>
        <w:tc>
          <w:tcPr>
            <w:tcW w:w="6336" w:type="dxa"/>
            <w:vAlign w:val="center"/>
          </w:tcPr>
          <w:p>
            <w:pPr>
              <w:jc w:val="center"/>
              <w:rPr>
                <w:color w:val="333333"/>
                <w:kern w:val="0"/>
                <w:szCs w:val="21"/>
                <w:lang w:bidi="en-US"/>
              </w:rPr>
            </w:pPr>
            <w:r>
              <w:rPr>
                <w:rFonts w:hAnsi="宋体"/>
                <w:color w:val="333333"/>
                <w:kern w:val="0"/>
                <w:szCs w:val="21"/>
                <w:lang w:bidi="en-US"/>
              </w:rPr>
              <w:t>视频：</w:t>
            </w:r>
            <w:r>
              <w:rPr>
                <w:color w:val="333333"/>
                <w:kern w:val="0"/>
                <w:szCs w:val="21"/>
                <w:lang w:bidi="en-US"/>
              </w:rPr>
              <w:t>100-6400</w:t>
            </w:r>
          </w:p>
          <w:p>
            <w:pPr>
              <w:jc w:val="center"/>
              <w:rPr>
                <w:color w:val="333333"/>
                <w:kern w:val="0"/>
                <w:szCs w:val="21"/>
                <w:lang w:bidi="en-US"/>
              </w:rPr>
            </w:pPr>
            <w:r>
              <w:rPr>
                <w:rFonts w:hAnsi="宋体"/>
                <w:color w:val="333333"/>
                <w:kern w:val="0"/>
                <w:szCs w:val="21"/>
                <w:lang w:bidi="en-US"/>
              </w:rPr>
              <w:t>照片</w:t>
            </w:r>
            <w:r>
              <w:rPr>
                <w:color w:val="333333"/>
                <w:kern w:val="0"/>
                <w:szCs w:val="21"/>
                <w:lang w:bidi="en-US"/>
              </w:rPr>
              <w:t xml:space="preserve">(1200 </w:t>
            </w:r>
            <w:r>
              <w:rPr>
                <w:rFonts w:hAnsi="宋体"/>
                <w:color w:val="333333"/>
                <w:kern w:val="0"/>
                <w:szCs w:val="21"/>
                <w:lang w:bidi="en-US"/>
              </w:rPr>
              <w:t>万像素</w:t>
            </w:r>
            <w:r>
              <w:rPr>
                <w:color w:val="333333"/>
                <w:kern w:val="0"/>
                <w:szCs w:val="21"/>
                <w:lang w:bidi="en-US"/>
              </w:rPr>
              <w:t>):</w:t>
            </w:r>
          </w:p>
          <w:p>
            <w:pPr>
              <w:jc w:val="center"/>
              <w:rPr>
                <w:color w:val="333333"/>
                <w:kern w:val="0"/>
                <w:szCs w:val="21"/>
                <w:lang w:bidi="en-US"/>
              </w:rPr>
            </w:pPr>
            <w:r>
              <w:rPr>
                <w:color w:val="333333"/>
                <w:kern w:val="0"/>
                <w:szCs w:val="21"/>
                <w:lang w:bidi="en-US"/>
              </w:rPr>
              <w:t>100-3200 (</w:t>
            </w:r>
            <w:r>
              <w:rPr>
                <w:rFonts w:hAnsi="宋体"/>
                <w:color w:val="333333"/>
                <w:kern w:val="0"/>
                <w:szCs w:val="21"/>
                <w:lang w:bidi="en-US"/>
              </w:rPr>
              <w:t>自动</w:t>
            </w:r>
            <w:r>
              <w:rPr>
                <w:color w:val="333333"/>
                <w:kern w:val="0"/>
                <w:szCs w:val="21"/>
                <w:lang w:bidi="en-US"/>
              </w:rPr>
              <w:t>)</w:t>
            </w:r>
          </w:p>
          <w:p>
            <w:pPr>
              <w:jc w:val="center"/>
              <w:rPr>
                <w:color w:val="333333"/>
                <w:kern w:val="0"/>
                <w:szCs w:val="21"/>
                <w:lang w:bidi="en-US"/>
              </w:rPr>
            </w:pPr>
            <w:r>
              <w:rPr>
                <w:color w:val="333333"/>
                <w:kern w:val="0"/>
                <w:szCs w:val="21"/>
                <w:lang w:bidi="en-US"/>
              </w:rPr>
              <w:t>100-6400 (</w:t>
            </w:r>
            <w:r>
              <w:rPr>
                <w:rFonts w:hAnsi="宋体"/>
                <w:color w:val="333333"/>
                <w:kern w:val="0"/>
                <w:szCs w:val="21"/>
                <w:lang w:bidi="en-US"/>
              </w:rPr>
              <w:t>手动</w:t>
            </w:r>
            <w:r>
              <w:rPr>
                <w:color w:val="333333"/>
                <w:kern w:val="0"/>
                <w:szCs w:val="21"/>
                <w:lang w:bidi="en-US"/>
              </w:rPr>
              <w:t>)</w:t>
            </w:r>
          </w:p>
          <w:p>
            <w:pPr>
              <w:jc w:val="center"/>
              <w:rPr>
                <w:color w:val="333333"/>
                <w:kern w:val="0"/>
                <w:szCs w:val="21"/>
                <w:lang w:bidi="en-US"/>
              </w:rPr>
            </w:pPr>
            <w:r>
              <w:rPr>
                <w:rFonts w:hAnsi="宋体"/>
                <w:color w:val="333333"/>
                <w:kern w:val="0"/>
                <w:szCs w:val="21"/>
                <w:lang w:bidi="en-US"/>
              </w:rPr>
              <w:t>照片</w:t>
            </w:r>
            <w:r>
              <w:rPr>
                <w:color w:val="333333"/>
                <w:kern w:val="0"/>
                <w:szCs w:val="21"/>
                <w:lang w:bidi="en-US"/>
              </w:rPr>
              <w:t xml:space="preserve"> (4800 </w:t>
            </w:r>
            <w:r>
              <w:rPr>
                <w:rFonts w:hAnsi="宋体"/>
                <w:color w:val="333333"/>
                <w:kern w:val="0"/>
                <w:szCs w:val="21"/>
                <w:lang w:bidi="en-US"/>
              </w:rPr>
              <w:t>万像素</w:t>
            </w:r>
            <w:r>
              <w:rPr>
                <w:color w:val="333333"/>
                <w:kern w:val="0"/>
                <w:szCs w:val="21"/>
                <w:lang w:bidi="en-US"/>
              </w:rPr>
              <w:t>):</w:t>
            </w:r>
          </w:p>
          <w:p>
            <w:pPr>
              <w:jc w:val="center"/>
              <w:rPr>
                <w:color w:val="333333"/>
                <w:kern w:val="0"/>
                <w:szCs w:val="21"/>
                <w:lang w:bidi="en-US"/>
              </w:rPr>
            </w:pPr>
            <w:r>
              <w:rPr>
                <w:color w:val="333333"/>
                <w:kern w:val="0"/>
                <w:szCs w:val="21"/>
                <w:lang w:bidi="en-US"/>
              </w:rPr>
              <w:t>100-1600 (</w:t>
            </w:r>
            <w:r>
              <w:rPr>
                <w:rFonts w:hAnsi="宋体"/>
                <w:color w:val="333333"/>
                <w:kern w:val="0"/>
                <w:szCs w:val="21"/>
                <w:lang w:bidi="en-US"/>
              </w:rPr>
              <w:t>自动</w:t>
            </w:r>
            <w:r>
              <w:rPr>
                <w:color w:val="333333"/>
                <w:kern w:val="0"/>
                <w:szCs w:val="21"/>
                <w:lang w:bidi="en-US"/>
              </w:rPr>
              <w:t>)</w:t>
            </w:r>
          </w:p>
          <w:p>
            <w:pPr>
              <w:jc w:val="center"/>
              <w:rPr>
                <w:color w:val="333333"/>
                <w:kern w:val="0"/>
                <w:szCs w:val="21"/>
                <w:lang w:bidi="en-US"/>
              </w:rPr>
            </w:pPr>
            <w:r>
              <w:rPr>
                <w:color w:val="333333"/>
                <w:kern w:val="0"/>
                <w:szCs w:val="21"/>
                <w:lang w:bidi="en-US"/>
              </w:rPr>
              <w:t>100-3200 (</w:t>
            </w:r>
            <w:r>
              <w:rPr>
                <w:rFonts w:hAnsi="宋体"/>
                <w:color w:val="333333"/>
                <w:kern w:val="0"/>
                <w:szCs w:val="21"/>
                <w:lang w:bidi="en-US"/>
              </w:rPr>
              <w:t>手动</w:t>
            </w:r>
            <w:r>
              <w:rPr>
                <w:color w:val="333333"/>
                <w:kern w:val="0"/>
                <w:szCs w:val="21"/>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照片格式</w:t>
            </w:r>
          </w:p>
        </w:tc>
        <w:tc>
          <w:tcPr>
            <w:tcW w:w="6336" w:type="dxa"/>
            <w:vAlign w:val="center"/>
          </w:tcPr>
          <w:p>
            <w:pPr>
              <w:jc w:val="center"/>
              <w:rPr>
                <w:color w:val="333333"/>
                <w:kern w:val="0"/>
                <w:szCs w:val="21"/>
                <w:lang w:bidi="en-US"/>
              </w:rPr>
            </w:pPr>
            <w:r>
              <w:rPr>
                <w:color w:val="333333"/>
                <w:kern w:val="0"/>
                <w:szCs w:val="21"/>
                <w:lang w:bidi="en-US"/>
              </w:rPr>
              <w:t>JPEG/DNG (RAW)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录像分辨率及帧率</w:t>
            </w:r>
          </w:p>
        </w:tc>
        <w:tc>
          <w:tcPr>
            <w:tcW w:w="6336" w:type="dxa"/>
            <w:vAlign w:val="center"/>
          </w:tcPr>
          <w:p>
            <w:pPr>
              <w:jc w:val="center"/>
              <w:rPr>
                <w:color w:val="333333"/>
                <w:kern w:val="0"/>
                <w:szCs w:val="21"/>
                <w:lang w:bidi="en-US"/>
              </w:rPr>
            </w:pPr>
            <w:r>
              <w:rPr>
                <w:color w:val="333333"/>
                <w:kern w:val="0"/>
                <w:szCs w:val="21"/>
                <w:lang w:bidi="en-US"/>
              </w:rPr>
              <w:t>4K Ultra HD: 3840×2160 24/25/30/48/50/60 fps</w:t>
            </w:r>
          </w:p>
          <w:p>
            <w:pPr>
              <w:jc w:val="center"/>
              <w:rPr>
                <w:color w:val="333333"/>
                <w:kern w:val="0"/>
                <w:szCs w:val="21"/>
                <w:lang w:bidi="en-US"/>
              </w:rPr>
            </w:pPr>
            <w:r>
              <w:rPr>
                <w:color w:val="333333"/>
                <w:kern w:val="0"/>
                <w:szCs w:val="21"/>
                <w:lang w:bidi="en-US"/>
              </w:rPr>
              <w:t>2.7K: 2688×1512 24/25/30/48/50/60 fps</w:t>
            </w:r>
          </w:p>
          <w:p>
            <w:pPr>
              <w:jc w:val="center"/>
              <w:rPr>
                <w:color w:val="333333"/>
                <w:kern w:val="0"/>
                <w:szCs w:val="21"/>
                <w:lang w:bidi="en-US"/>
              </w:rPr>
            </w:pPr>
            <w:r>
              <w:rPr>
                <w:color w:val="333333"/>
                <w:kern w:val="0"/>
                <w:szCs w:val="21"/>
                <w:lang w:bidi="en-US"/>
              </w:rPr>
              <w:t>FHD: 1920×1080 24/25/30/48/50/60/120/240 fps</w:t>
            </w:r>
          </w:p>
          <w:p>
            <w:pPr>
              <w:jc w:val="center"/>
              <w:rPr>
                <w:color w:val="333333"/>
                <w:kern w:val="0"/>
                <w:szCs w:val="21"/>
                <w:lang w:bidi="en-US"/>
              </w:rPr>
            </w:pPr>
            <w:r>
              <w:rPr>
                <w:color w:val="333333"/>
                <w:kern w:val="0"/>
                <w:szCs w:val="21"/>
                <w:lang w:bidi="en-US"/>
              </w:rPr>
              <w:t>4K Ultra HD HDR: 3840×2160 24/25/30 fps</w:t>
            </w:r>
          </w:p>
          <w:p>
            <w:pPr>
              <w:jc w:val="center"/>
              <w:rPr>
                <w:color w:val="333333"/>
                <w:kern w:val="0"/>
                <w:szCs w:val="21"/>
                <w:lang w:bidi="en-US"/>
              </w:rPr>
            </w:pPr>
            <w:r>
              <w:rPr>
                <w:color w:val="333333"/>
                <w:kern w:val="0"/>
                <w:szCs w:val="21"/>
                <w:lang w:bidi="en-US"/>
              </w:rPr>
              <w:t>2.7K HDR: 2688×1512 24/25/30 fps</w:t>
            </w:r>
          </w:p>
          <w:p>
            <w:pPr>
              <w:jc w:val="center"/>
              <w:rPr>
                <w:color w:val="333333"/>
                <w:kern w:val="0"/>
                <w:szCs w:val="21"/>
                <w:lang w:bidi="en-US"/>
              </w:rPr>
            </w:pPr>
            <w:r>
              <w:rPr>
                <w:color w:val="333333"/>
                <w:kern w:val="0"/>
                <w:szCs w:val="21"/>
                <w:lang w:bidi="en-US"/>
              </w:rPr>
              <w:t>FHD HDR: 1920×1080 24/25/30 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视频格式</w:t>
            </w:r>
          </w:p>
        </w:tc>
        <w:tc>
          <w:tcPr>
            <w:tcW w:w="6336" w:type="dxa"/>
            <w:vAlign w:val="center"/>
          </w:tcPr>
          <w:p>
            <w:pPr>
              <w:autoSpaceDE w:val="0"/>
              <w:autoSpaceDN w:val="0"/>
              <w:jc w:val="center"/>
              <w:rPr>
                <w:color w:val="333333"/>
                <w:kern w:val="0"/>
                <w:szCs w:val="21"/>
                <w:lang w:bidi="en-US"/>
              </w:rPr>
            </w:pPr>
            <w:r>
              <w:rPr>
                <w:color w:val="333333"/>
                <w:kern w:val="0"/>
                <w:szCs w:val="21"/>
                <w:lang w:bidi="en-US"/>
              </w:rPr>
              <w:t>MP4/MOV (H.264/MPEG-4 AVC, H.265/HEVC)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视频最大码率</w:t>
            </w:r>
          </w:p>
        </w:tc>
        <w:tc>
          <w:tcPr>
            <w:tcW w:w="6336" w:type="dxa"/>
            <w:vAlign w:val="center"/>
          </w:tcPr>
          <w:p>
            <w:pPr>
              <w:autoSpaceDE w:val="0"/>
              <w:autoSpaceDN w:val="0"/>
              <w:jc w:val="center"/>
              <w:rPr>
                <w:color w:val="333333"/>
                <w:kern w:val="0"/>
                <w:szCs w:val="21"/>
                <w:lang w:bidi="en-US"/>
              </w:rPr>
            </w:pPr>
            <w:r>
              <w:rPr>
                <w:color w:val="333333"/>
                <w:kern w:val="0"/>
                <w:szCs w:val="21"/>
                <w:lang w:bidi="en-US"/>
              </w:rPr>
              <w:t>120 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储存方式</w:t>
            </w:r>
          </w:p>
        </w:tc>
        <w:tc>
          <w:tcPr>
            <w:tcW w:w="6336" w:type="dxa"/>
            <w:vAlign w:val="center"/>
          </w:tcPr>
          <w:p>
            <w:pPr>
              <w:autoSpaceDE w:val="0"/>
              <w:autoSpaceDN w:val="0"/>
              <w:jc w:val="center"/>
              <w:rPr>
                <w:color w:val="333333"/>
                <w:kern w:val="0"/>
                <w:szCs w:val="21"/>
                <w:lang w:bidi="en-US"/>
              </w:rPr>
            </w:pPr>
            <w:r>
              <w:rPr>
                <w:color w:val="333333"/>
                <w:kern w:val="0"/>
                <w:szCs w:val="21"/>
                <w:lang w:bidi="en-US"/>
              </w:rPr>
              <w:t>256GB SD</w:t>
            </w:r>
            <w:r>
              <w:rPr>
                <w:rFonts w:hAnsi="宋体"/>
                <w:color w:val="333333"/>
                <w:kern w:val="0"/>
                <w:szCs w:val="21"/>
                <w:lang w:bidi="en-US"/>
              </w:rPr>
              <w:t>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支持文件系统</w:t>
            </w:r>
          </w:p>
        </w:tc>
        <w:tc>
          <w:tcPr>
            <w:tcW w:w="6336" w:type="dxa"/>
            <w:vAlign w:val="center"/>
          </w:tcPr>
          <w:p>
            <w:pPr>
              <w:autoSpaceDE w:val="0"/>
              <w:autoSpaceDN w:val="0"/>
              <w:jc w:val="center"/>
              <w:rPr>
                <w:color w:val="333333"/>
                <w:kern w:val="0"/>
                <w:szCs w:val="21"/>
                <w:lang w:bidi="en-US"/>
              </w:rPr>
            </w:pPr>
            <w:r>
              <w:rPr>
                <w:color w:val="333333"/>
                <w:kern w:val="0"/>
                <w:szCs w:val="21"/>
                <w:lang w:bidi="en-US"/>
              </w:rPr>
              <w:t xml:space="preserve">FAT32 </w:t>
            </w:r>
            <w:r>
              <w:rPr>
                <w:rFonts w:hAnsi="宋体"/>
                <w:color w:val="333333"/>
                <w:kern w:val="0"/>
                <w:szCs w:val="21"/>
                <w:lang w:bidi="en-US"/>
              </w:rPr>
              <w:t>及</w:t>
            </w:r>
            <w:r>
              <w:rPr>
                <w:color w:val="333333"/>
                <w:kern w:val="0"/>
                <w:szCs w:val="21"/>
                <w:lang w:bidi="en-US"/>
              </w:rPr>
              <w:t xml:space="preserve"> exFAT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轴数</w:t>
            </w:r>
          </w:p>
        </w:tc>
        <w:tc>
          <w:tcPr>
            <w:tcW w:w="6336" w:type="dxa"/>
            <w:vAlign w:val="center"/>
          </w:tcPr>
          <w:p>
            <w:pPr>
              <w:autoSpaceDE w:val="0"/>
              <w:autoSpaceDN w:val="0"/>
              <w:jc w:val="center"/>
              <w:rPr>
                <w:color w:val="333333"/>
                <w:kern w:val="0"/>
                <w:szCs w:val="21"/>
                <w:lang w:bidi="en-US"/>
              </w:rPr>
            </w:pPr>
            <w:r>
              <w:rPr>
                <w:color w:val="333333"/>
                <w:kern w:val="0"/>
                <w:szCs w:val="21"/>
                <w:lang w:bidi="en-US"/>
              </w:rPr>
              <w:t xml:space="preserve">3 </w:t>
            </w:r>
            <w:r>
              <w:rPr>
                <w:rFonts w:hAnsi="宋体"/>
                <w:color w:val="333333"/>
                <w:kern w:val="0"/>
                <w:szCs w:val="21"/>
                <w:lang w:bidi="en-US"/>
              </w:rPr>
              <w:t>轴</w:t>
            </w:r>
            <w:r>
              <w:rPr>
                <w:color w:val="333333"/>
                <w:kern w:val="0"/>
                <w:szCs w:val="21"/>
                <w:lang w:bidi="en-US"/>
              </w:rPr>
              <w:t>(</w:t>
            </w:r>
            <w:r>
              <w:rPr>
                <w:rFonts w:hAnsi="宋体"/>
                <w:color w:val="333333"/>
                <w:kern w:val="0"/>
                <w:szCs w:val="21"/>
                <w:lang w:bidi="en-US"/>
              </w:rPr>
              <w:t>俯仰、横滚、偏航</w:t>
            </w:r>
            <w:r>
              <w:rPr>
                <w:color w:val="333333"/>
                <w:kern w:val="0"/>
                <w:szCs w:val="21"/>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结构设计范围</w:t>
            </w:r>
          </w:p>
          <w:p>
            <w:pPr>
              <w:autoSpaceDE w:val="0"/>
              <w:autoSpaceDN w:val="0"/>
              <w:jc w:val="center"/>
              <w:rPr>
                <w:color w:val="333333"/>
                <w:kern w:val="0"/>
                <w:szCs w:val="21"/>
                <w:lang w:bidi="en-US"/>
              </w:rPr>
            </w:pPr>
          </w:p>
        </w:tc>
        <w:tc>
          <w:tcPr>
            <w:tcW w:w="6336" w:type="dxa"/>
            <w:vAlign w:val="center"/>
          </w:tcPr>
          <w:p>
            <w:pPr>
              <w:jc w:val="center"/>
              <w:rPr>
                <w:color w:val="333333"/>
                <w:kern w:val="0"/>
                <w:szCs w:val="21"/>
                <w:lang w:bidi="en-US"/>
              </w:rPr>
            </w:pPr>
            <w:r>
              <w:rPr>
                <w:rFonts w:hAnsi="宋体"/>
                <w:color w:val="333333"/>
                <w:kern w:val="0"/>
                <w:szCs w:val="21"/>
                <w:lang w:bidi="en-US"/>
              </w:rPr>
              <w:t>俯仰：</w:t>
            </w:r>
            <w:r>
              <w:rPr>
                <w:color w:val="333333"/>
                <w:kern w:val="0"/>
                <w:szCs w:val="21"/>
                <w:lang w:bidi="en-US"/>
              </w:rPr>
              <w:t xml:space="preserve">-135° </w:t>
            </w:r>
            <w:r>
              <w:rPr>
                <w:rFonts w:hAnsi="宋体"/>
                <w:color w:val="333333"/>
                <w:kern w:val="0"/>
                <w:szCs w:val="21"/>
                <w:lang w:bidi="en-US"/>
              </w:rPr>
              <w:t>至</w:t>
            </w:r>
            <w:r>
              <w:rPr>
                <w:color w:val="333333"/>
                <w:kern w:val="0"/>
                <w:szCs w:val="21"/>
                <w:lang w:bidi="en-US"/>
              </w:rPr>
              <w:t xml:space="preserve"> 45°</w:t>
            </w:r>
          </w:p>
          <w:p>
            <w:pPr>
              <w:jc w:val="center"/>
              <w:rPr>
                <w:color w:val="333333"/>
                <w:kern w:val="0"/>
                <w:szCs w:val="21"/>
                <w:lang w:bidi="en-US"/>
              </w:rPr>
            </w:pPr>
            <w:r>
              <w:rPr>
                <w:rFonts w:hAnsi="宋体"/>
                <w:color w:val="333333"/>
                <w:kern w:val="0"/>
                <w:szCs w:val="21"/>
                <w:lang w:bidi="en-US"/>
              </w:rPr>
              <w:t>横滚：</w:t>
            </w:r>
            <w:r>
              <w:rPr>
                <w:color w:val="333333"/>
                <w:kern w:val="0"/>
                <w:szCs w:val="21"/>
                <w:lang w:bidi="en-US"/>
              </w:rPr>
              <w:t xml:space="preserve">-45° </w:t>
            </w:r>
            <w:r>
              <w:rPr>
                <w:rFonts w:hAnsi="宋体"/>
                <w:color w:val="333333"/>
                <w:kern w:val="0"/>
                <w:szCs w:val="21"/>
                <w:lang w:bidi="en-US"/>
              </w:rPr>
              <w:t>至</w:t>
            </w:r>
            <w:r>
              <w:rPr>
                <w:color w:val="333333"/>
                <w:kern w:val="0"/>
                <w:szCs w:val="21"/>
                <w:lang w:bidi="en-US"/>
              </w:rPr>
              <w:t xml:space="preserve"> 45°</w:t>
            </w:r>
          </w:p>
          <w:p>
            <w:pPr>
              <w:jc w:val="center"/>
              <w:rPr>
                <w:color w:val="333333"/>
                <w:kern w:val="0"/>
                <w:szCs w:val="21"/>
                <w:lang w:bidi="en-US"/>
              </w:rPr>
            </w:pPr>
            <w:r>
              <w:rPr>
                <w:rFonts w:hAnsi="宋体"/>
                <w:color w:val="333333"/>
                <w:kern w:val="0"/>
                <w:szCs w:val="21"/>
                <w:lang w:bidi="en-US"/>
              </w:rPr>
              <w:t>偏航：</w:t>
            </w:r>
            <w:r>
              <w:rPr>
                <w:color w:val="333333"/>
                <w:kern w:val="0"/>
                <w:szCs w:val="21"/>
                <w:lang w:bidi="en-US"/>
              </w:rPr>
              <w:t xml:space="preserve">-100° </w:t>
            </w:r>
            <w:r>
              <w:rPr>
                <w:rFonts w:hAnsi="宋体"/>
                <w:color w:val="333333"/>
                <w:kern w:val="0"/>
                <w:szCs w:val="21"/>
                <w:lang w:bidi="en-US"/>
              </w:rPr>
              <w:t>至</w:t>
            </w:r>
            <w:r>
              <w:rPr>
                <w:color w:val="333333"/>
                <w:kern w:val="0"/>
                <w:szCs w:val="21"/>
                <w:lang w:bidi="en-US"/>
              </w:rPr>
              <w:t xml:space="preser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可控转动范围</w:t>
            </w:r>
          </w:p>
        </w:tc>
        <w:tc>
          <w:tcPr>
            <w:tcW w:w="6336" w:type="dxa"/>
            <w:vAlign w:val="center"/>
          </w:tcPr>
          <w:p>
            <w:pPr>
              <w:jc w:val="center"/>
              <w:rPr>
                <w:color w:val="333333"/>
                <w:kern w:val="0"/>
                <w:szCs w:val="21"/>
                <w:lang w:bidi="en-US"/>
              </w:rPr>
            </w:pPr>
            <w:r>
              <w:rPr>
                <w:rFonts w:hAnsi="宋体"/>
                <w:color w:val="333333"/>
                <w:kern w:val="0"/>
                <w:szCs w:val="21"/>
                <w:lang w:bidi="en-US"/>
              </w:rPr>
              <w:t>俯仰：</w:t>
            </w:r>
            <w:r>
              <w:rPr>
                <w:color w:val="333333"/>
                <w:kern w:val="0"/>
                <w:szCs w:val="21"/>
                <w:lang w:bidi="en-US"/>
              </w:rPr>
              <w:t xml:space="preserve">-90° </w:t>
            </w:r>
            <w:r>
              <w:rPr>
                <w:rFonts w:hAnsi="宋体"/>
                <w:color w:val="333333"/>
                <w:kern w:val="0"/>
                <w:szCs w:val="21"/>
                <w:lang w:bidi="en-US"/>
              </w:rPr>
              <w:t>至</w:t>
            </w:r>
            <w:r>
              <w:rPr>
                <w:color w:val="333333"/>
                <w:kern w:val="0"/>
                <w:szCs w:val="21"/>
                <w:lang w:bidi="en-US"/>
              </w:rPr>
              <w:t xml:space="preserve"> 0°(</w:t>
            </w:r>
            <w:r>
              <w:rPr>
                <w:rFonts w:hAnsi="宋体"/>
                <w:color w:val="333333"/>
                <w:kern w:val="0"/>
                <w:szCs w:val="21"/>
                <w:lang w:bidi="en-US"/>
              </w:rPr>
              <w:t>默认设置</w:t>
            </w:r>
            <w:r>
              <w:rPr>
                <w:color w:val="333333"/>
                <w:kern w:val="0"/>
                <w:szCs w:val="21"/>
                <w:lang w:bidi="en-US"/>
              </w:rPr>
              <w:t>)</w:t>
            </w:r>
          </w:p>
          <w:p>
            <w:pPr>
              <w:jc w:val="center"/>
              <w:rPr>
                <w:color w:val="333333"/>
                <w:kern w:val="0"/>
                <w:szCs w:val="21"/>
                <w:lang w:bidi="en-US"/>
              </w:rPr>
            </w:pPr>
            <w:r>
              <w:rPr>
                <w:color w:val="333333"/>
                <w:kern w:val="0"/>
                <w:szCs w:val="21"/>
                <w:lang w:bidi="en-US"/>
              </w:rPr>
              <w:t xml:space="preserve">-90° </w:t>
            </w:r>
            <w:r>
              <w:rPr>
                <w:rFonts w:hAnsi="宋体"/>
                <w:color w:val="333333"/>
                <w:kern w:val="0"/>
                <w:szCs w:val="21"/>
                <w:lang w:bidi="en-US"/>
              </w:rPr>
              <w:t>至</w:t>
            </w:r>
            <w:r>
              <w:rPr>
                <w:color w:val="333333"/>
                <w:kern w:val="0"/>
                <w:szCs w:val="21"/>
                <w:lang w:bidi="en-US"/>
              </w:rPr>
              <w:t xml:space="preserve"> 24°(</w:t>
            </w:r>
            <w:r>
              <w:rPr>
                <w:rFonts w:hAnsi="宋体"/>
                <w:color w:val="333333"/>
                <w:kern w:val="0"/>
                <w:szCs w:val="21"/>
                <w:lang w:bidi="en-US"/>
              </w:rPr>
              <w:t>扩展</w:t>
            </w:r>
            <w:r>
              <w:rPr>
                <w:color w:val="333333"/>
                <w:kern w:val="0"/>
                <w:szCs w:val="21"/>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jc w:val="center"/>
              <w:rPr>
                <w:color w:val="333333"/>
                <w:kern w:val="0"/>
                <w:szCs w:val="21"/>
                <w:lang w:bidi="en-US"/>
              </w:rPr>
            </w:pPr>
            <w:r>
              <w:rPr>
                <w:rFonts w:hAnsi="宋体"/>
                <w:kern w:val="0"/>
                <w:szCs w:val="21"/>
              </w:rPr>
              <w:t>★</w:t>
            </w:r>
            <w:r>
              <w:rPr>
                <w:rFonts w:hAnsi="宋体"/>
                <w:color w:val="333333"/>
                <w:kern w:val="0"/>
                <w:szCs w:val="21"/>
                <w:lang w:bidi="en-US"/>
              </w:rPr>
              <w:t>最大控制转速（俯仰）</w:t>
            </w:r>
          </w:p>
        </w:tc>
        <w:tc>
          <w:tcPr>
            <w:tcW w:w="6336" w:type="dxa"/>
            <w:vAlign w:val="center"/>
          </w:tcPr>
          <w:p>
            <w:pPr>
              <w:autoSpaceDE w:val="0"/>
              <w:autoSpaceDN w:val="0"/>
              <w:jc w:val="center"/>
              <w:rPr>
                <w:color w:val="333333"/>
                <w:kern w:val="0"/>
                <w:szCs w:val="21"/>
                <w:lang w:bidi="en-US"/>
              </w:rPr>
            </w:pPr>
            <w:r>
              <w:rPr>
                <w:color w:val="333333"/>
                <w:kern w:val="0"/>
                <w:szCs w:val="21"/>
                <w:lang w:bidi="en-US"/>
              </w:rPr>
              <w:t>100°/s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角度抖动量</w:t>
            </w:r>
          </w:p>
        </w:tc>
        <w:tc>
          <w:tcPr>
            <w:tcW w:w="6336" w:type="dxa"/>
            <w:vAlign w:val="center"/>
          </w:tcPr>
          <w:p>
            <w:pPr>
              <w:autoSpaceDE w:val="0"/>
              <w:autoSpaceDN w:val="0"/>
              <w:jc w:val="center"/>
              <w:rPr>
                <w:color w:val="333333"/>
                <w:kern w:val="0"/>
                <w:szCs w:val="21"/>
                <w:lang w:bidi="en-US"/>
              </w:rPr>
            </w:pPr>
            <w:r>
              <w:rPr>
                <w:color w:val="333333"/>
                <w:kern w:val="0"/>
                <w:szCs w:val="21"/>
                <w:lang w:bidi="en-US"/>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color w:val="333333"/>
                <w:kern w:val="0"/>
                <w:szCs w:val="21"/>
                <w:lang w:bidi="en-US"/>
              </w:rPr>
            </w:pPr>
            <w:r>
              <w:rPr>
                <w:rFonts w:hAnsi="宋体"/>
                <w:kern w:val="0"/>
                <w:szCs w:val="21"/>
                <w:lang w:eastAsia="en-US"/>
              </w:rPr>
              <w:t>★</w:t>
            </w:r>
            <w:r>
              <w:rPr>
                <w:rFonts w:hAnsi="宋体"/>
                <w:color w:val="333333"/>
                <w:kern w:val="0"/>
                <w:szCs w:val="21"/>
                <w:lang w:bidi="en-US"/>
              </w:rPr>
              <w:t>视觉系统</w:t>
            </w:r>
          </w:p>
        </w:tc>
        <w:tc>
          <w:tcPr>
            <w:tcW w:w="6336" w:type="dxa"/>
            <w:vAlign w:val="center"/>
          </w:tcPr>
          <w:p>
            <w:pPr>
              <w:jc w:val="center"/>
              <w:rPr>
                <w:color w:val="333333"/>
                <w:kern w:val="0"/>
                <w:szCs w:val="21"/>
                <w:lang w:bidi="en-US"/>
              </w:rPr>
            </w:pPr>
            <w:r>
              <w:rPr>
                <w:rFonts w:hAnsi="宋体"/>
                <w:color w:val="333333"/>
                <w:kern w:val="0"/>
                <w:szCs w:val="21"/>
                <w:lang w:bidi="en-US"/>
              </w:rPr>
              <w:t>前视：</w:t>
            </w:r>
          </w:p>
          <w:p>
            <w:pPr>
              <w:jc w:val="center"/>
              <w:rPr>
                <w:color w:val="333333"/>
                <w:kern w:val="0"/>
                <w:szCs w:val="21"/>
                <w:lang w:bidi="en-US"/>
              </w:rPr>
            </w:pPr>
            <w:r>
              <w:rPr>
                <w:rFonts w:hAnsi="宋体"/>
                <w:color w:val="333333"/>
                <w:kern w:val="0"/>
                <w:szCs w:val="21"/>
                <w:lang w:bidi="en-US"/>
              </w:rPr>
              <w:t>精确测距范围：</w:t>
            </w:r>
            <w:r>
              <w:rPr>
                <w:color w:val="333333"/>
                <w:kern w:val="0"/>
                <w:szCs w:val="21"/>
                <w:lang w:bidi="en-US"/>
              </w:rPr>
              <w:t xml:space="preserve">0.35 </w:t>
            </w:r>
            <w:r>
              <w:rPr>
                <w:rFonts w:hAnsi="宋体"/>
                <w:color w:val="333333"/>
                <w:kern w:val="0"/>
                <w:szCs w:val="21"/>
                <w:lang w:bidi="en-US"/>
              </w:rPr>
              <w:t>至</w:t>
            </w:r>
            <w:r>
              <w:rPr>
                <w:color w:val="333333"/>
                <w:kern w:val="0"/>
                <w:szCs w:val="21"/>
                <w:lang w:bidi="en-US"/>
              </w:rPr>
              <w:t xml:space="preserve"> 22.0 m</w:t>
            </w:r>
            <w:r>
              <w:rPr>
                <w:rFonts w:hAnsi="宋体"/>
                <w:color w:val="333333"/>
                <w:kern w:val="0"/>
                <w:szCs w:val="21"/>
                <w:lang w:bidi="en-US"/>
              </w:rPr>
              <w:t>；可探测范围：</w:t>
            </w:r>
            <w:r>
              <w:rPr>
                <w:color w:val="333333"/>
                <w:kern w:val="0"/>
                <w:szCs w:val="21"/>
                <w:lang w:bidi="en-US"/>
              </w:rPr>
              <w:t xml:space="preserve">0.35 </w:t>
            </w:r>
            <w:r>
              <w:rPr>
                <w:rFonts w:hAnsi="宋体"/>
                <w:color w:val="333333"/>
                <w:kern w:val="0"/>
                <w:szCs w:val="21"/>
                <w:lang w:bidi="en-US"/>
              </w:rPr>
              <w:t>至</w:t>
            </w:r>
            <w:r>
              <w:rPr>
                <w:color w:val="333333"/>
                <w:kern w:val="0"/>
                <w:szCs w:val="21"/>
                <w:lang w:bidi="en-US"/>
              </w:rPr>
              <w:t xml:space="preserve"> 44 m</w:t>
            </w:r>
            <w:r>
              <w:rPr>
                <w:rFonts w:hAnsi="宋体"/>
                <w:color w:val="333333"/>
                <w:kern w:val="0"/>
                <w:szCs w:val="21"/>
                <w:lang w:bidi="en-US"/>
              </w:rPr>
              <w:t>；有效避障速度：</w:t>
            </w:r>
            <w:r>
              <w:rPr>
                <w:color w:val="333333"/>
                <w:kern w:val="0"/>
                <w:szCs w:val="21"/>
                <w:lang w:bidi="en-US"/>
              </w:rPr>
              <w:t>12 m/s</w:t>
            </w:r>
            <w:r>
              <w:rPr>
                <w:rFonts w:hAnsi="宋体"/>
                <w:color w:val="333333"/>
                <w:kern w:val="0"/>
                <w:szCs w:val="21"/>
                <w:lang w:bidi="en-US"/>
              </w:rPr>
              <w:t>；视角</w:t>
            </w:r>
            <w:r>
              <w:rPr>
                <w:color w:val="333333"/>
                <w:kern w:val="0"/>
                <w:szCs w:val="21"/>
                <w:lang w:bidi="en-US"/>
              </w:rPr>
              <w:t>(FOV):</w:t>
            </w:r>
            <w:r>
              <w:rPr>
                <w:rFonts w:hAnsi="宋体"/>
                <w:color w:val="333333"/>
                <w:kern w:val="0"/>
                <w:szCs w:val="21"/>
                <w:lang w:bidi="en-US"/>
              </w:rPr>
              <w:t>水平</w:t>
            </w:r>
            <w:r>
              <w:rPr>
                <w:color w:val="333333"/>
                <w:kern w:val="0"/>
                <w:szCs w:val="21"/>
                <w:lang w:bidi="en-US"/>
              </w:rPr>
              <w:t xml:space="preserve"> 71° </w:t>
            </w:r>
            <w:r>
              <w:rPr>
                <w:rFonts w:hAnsi="宋体"/>
                <w:color w:val="333333"/>
                <w:kern w:val="0"/>
                <w:szCs w:val="21"/>
                <w:lang w:bidi="en-US"/>
              </w:rPr>
              <w:t>，垂直</w:t>
            </w:r>
            <w:r>
              <w:rPr>
                <w:color w:val="333333"/>
                <w:kern w:val="0"/>
                <w:szCs w:val="21"/>
                <w:lang w:bidi="en-US"/>
              </w:rPr>
              <w:t xml:space="preserve"> 56°</w:t>
            </w:r>
          </w:p>
          <w:p>
            <w:pPr>
              <w:jc w:val="center"/>
              <w:rPr>
                <w:color w:val="333333"/>
                <w:kern w:val="0"/>
                <w:szCs w:val="21"/>
                <w:lang w:bidi="en-US"/>
              </w:rPr>
            </w:pPr>
            <w:r>
              <w:rPr>
                <w:rFonts w:hAnsi="宋体"/>
                <w:color w:val="333333"/>
                <w:kern w:val="0"/>
                <w:szCs w:val="21"/>
                <w:lang w:bidi="en-US"/>
              </w:rPr>
              <w:t>后视：</w:t>
            </w:r>
          </w:p>
          <w:p>
            <w:pPr>
              <w:jc w:val="center"/>
              <w:rPr>
                <w:color w:val="333333"/>
                <w:kern w:val="0"/>
                <w:szCs w:val="21"/>
                <w:lang w:bidi="en-US"/>
              </w:rPr>
            </w:pPr>
            <w:r>
              <w:rPr>
                <w:rFonts w:hAnsi="宋体"/>
                <w:color w:val="333333"/>
                <w:kern w:val="0"/>
                <w:szCs w:val="21"/>
                <w:lang w:bidi="en-US"/>
              </w:rPr>
              <w:t>精确测距范围：</w:t>
            </w:r>
            <w:r>
              <w:rPr>
                <w:color w:val="333333"/>
                <w:kern w:val="0"/>
                <w:szCs w:val="21"/>
                <w:lang w:bidi="en-US"/>
              </w:rPr>
              <w:t xml:space="preserve">0.37 </w:t>
            </w:r>
            <w:r>
              <w:rPr>
                <w:rFonts w:hAnsi="宋体"/>
                <w:color w:val="333333"/>
                <w:kern w:val="0"/>
                <w:szCs w:val="21"/>
                <w:lang w:bidi="en-US"/>
              </w:rPr>
              <w:t>至</w:t>
            </w:r>
            <w:r>
              <w:rPr>
                <w:color w:val="333333"/>
                <w:kern w:val="0"/>
                <w:szCs w:val="21"/>
                <w:lang w:bidi="en-US"/>
              </w:rPr>
              <w:t xml:space="preserve"> 23.6 m</w:t>
            </w:r>
            <w:r>
              <w:rPr>
                <w:rFonts w:hAnsi="宋体"/>
                <w:color w:val="333333"/>
                <w:kern w:val="0"/>
                <w:szCs w:val="21"/>
                <w:lang w:bidi="en-US"/>
              </w:rPr>
              <w:t>；可探测范围：</w:t>
            </w:r>
            <w:r>
              <w:rPr>
                <w:color w:val="333333"/>
                <w:kern w:val="0"/>
                <w:szCs w:val="21"/>
                <w:lang w:bidi="en-US"/>
              </w:rPr>
              <w:t xml:space="preserve">0.37 </w:t>
            </w:r>
            <w:r>
              <w:rPr>
                <w:rFonts w:hAnsi="宋体"/>
                <w:color w:val="333333"/>
                <w:kern w:val="0"/>
                <w:szCs w:val="21"/>
                <w:lang w:bidi="en-US"/>
              </w:rPr>
              <w:t>至</w:t>
            </w:r>
            <w:r>
              <w:rPr>
                <w:color w:val="333333"/>
                <w:kern w:val="0"/>
                <w:szCs w:val="21"/>
                <w:lang w:bidi="en-US"/>
              </w:rPr>
              <w:t xml:space="preserve"> 47.2 m</w:t>
            </w:r>
            <w:r>
              <w:rPr>
                <w:rFonts w:hAnsi="宋体"/>
                <w:color w:val="333333"/>
                <w:kern w:val="0"/>
                <w:szCs w:val="21"/>
                <w:lang w:bidi="en-US"/>
              </w:rPr>
              <w:t>；有效避障速度：</w:t>
            </w:r>
            <w:r>
              <w:rPr>
                <w:color w:val="333333"/>
                <w:kern w:val="0"/>
                <w:szCs w:val="21"/>
                <w:lang w:bidi="en-US"/>
              </w:rPr>
              <w:t>12 m/s</w:t>
            </w:r>
            <w:r>
              <w:rPr>
                <w:rFonts w:hAnsi="宋体"/>
                <w:color w:val="333333"/>
                <w:kern w:val="0"/>
                <w:szCs w:val="21"/>
                <w:lang w:bidi="en-US"/>
              </w:rPr>
              <w:t>；视角</w:t>
            </w:r>
            <w:r>
              <w:rPr>
                <w:color w:val="333333"/>
                <w:kern w:val="0"/>
                <w:szCs w:val="21"/>
                <w:lang w:bidi="en-US"/>
              </w:rPr>
              <w:t>(FOV):</w:t>
            </w:r>
            <w:r>
              <w:rPr>
                <w:rFonts w:hAnsi="宋体"/>
                <w:color w:val="333333"/>
                <w:kern w:val="0"/>
                <w:szCs w:val="21"/>
                <w:lang w:bidi="en-US"/>
              </w:rPr>
              <w:t>水平</w:t>
            </w:r>
            <w:r>
              <w:rPr>
                <w:color w:val="333333"/>
                <w:kern w:val="0"/>
                <w:szCs w:val="21"/>
                <w:lang w:bidi="en-US"/>
              </w:rPr>
              <w:t xml:space="preserve"> 57°</w:t>
            </w:r>
            <w:r>
              <w:rPr>
                <w:rFonts w:hAnsi="宋体"/>
                <w:color w:val="333333"/>
                <w:kern w:val="0"/>
                <w:szCs w:val="21"/>
                <w:lang w:bidi="en-US"/>
              </w:rPr>
              <w:t>，垂直</w:t>
            </w:r>
            <w:r>
              <w:rPr>
                <w:color w:val="333333"/>
                <w:kern w:val="0"/>
                <w:szCs w:val="21"/>
                <w:lang w:bidi="en-US"/>
              </w:rPr>
              <w:t xml:space="preserve"> 44°</w:t>
            </w:r>
          </w:p>
          <w:p>
            <w:pPr>
              <w:jc w:val="center"/>
              <w:rPr>
                <w:color w:val="333333"/>
                <w:kern w:val="0"/>
                <w:szCs w:val="21"/>
                <w:lang w:bidi="en-US"/>
              </w:rPr>
            </w:pPr>
            <w:r>
              <w:rPr>
                <w:rFonts w:hAnsi="宋体"/>
                <w:color w:val="333333"/>
                <w:kern w:val="0"/>
                <w:szCs w:val="21"/>
                <w:lang w:bidi="en-US"/>
              </w:rPr>
              <w:t>下视传感器配置：双目</w:t>
            </w:r>
            <w:r>
              <w:rPr>
                <w:color w:val="333333"/>
                <w:kern w:val="0"/>
                <w:szCs w:val="21"/>
                <w:lang w:bidi="en-US"/>
              </w:rPr>
              <w:t xml:space="preserve"> + ToF</w:t>
            </w:r>
          </w:p>
          <w:p>
            <w:pPr>
              <w:jc w:val="center"/>
              <w:rPr>
                <w:color w:val="333333"/>
                <w:kern w:val="0"/>
                <w:szCs w:val="21"/>
                <w:lang w:bidi="en-US"/>
              </w:rPr>
            </w:pPr>
            <w:r>
              <w:rPr>
                <w:rFonts w:hAnsi="宋体"/>
                <w:color w:val="333333"/>
                <w:kern w:val="0"/>
                <w:szCs w:val="21"/>
                <w:lang w:bidi="en-US"/>
              </w:rPr>
              <w:t>下视：</w:t>
            </w:r>
            <w:r>
              <w:rPr>
                <w:color w:val="333333"/>
                <w:kern w:val="0"/>
                <w:szCs w:val="21"/>
                <w:lang w:bidi="en-US"/>
              </w:rPr>
              <w:t xml:space="preserve">ToF </w:t>
            </w:r>
            <w:r>
              <w:rPr>
                <w:rFonts w:hAnsi="宋体"/>
                <w:color w:val="333333"/>
                <w:kern w:val="0"/>
                <w:szCs w:val="21"/>
                <w:lang w:bidi="en-US"/>
              </w:rPr>
              <w:t>有效测量高度：</w:t>
            </w:r>
            <w:r>
              <w:rPr>
                <w:color w:val="333333"/>
                <w:kern w:val="0"/>
                <w:szCs w:val="21"/>
                <w:lang w:bidi="en-US"/>
              </w:rPr>
              <w:t xml:space="preserve">0.1 </w:t>
            </w:r>
            <w:r>
              <w:rPr>
                <w:rFonts w:hAnsi="宋体"/>
                <w:color w:val="333333"/>
                <w:kern w:val="0"/>
                <w:szCs w:val="21"/>
                <w:lang w:bidi="en-US"/>
              </w:rPr>
              <w:t>至</w:t>
            </w:r>
            <w:r>
              <w:rPr>
                <w:color w:val="333333"/>
                <w:kern w:val="0"/>
                <w:szCs w:val="21"/>
                <w:lang w:bidi="en-US"/>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8" w:type="dxa"/>
            <w:vAlign w:val="center"/>
          </w:tcPr>
          <w:p>
            <w:pPr>
              <w:autoSpaceDE w:val="0"/>
              <w:autoSpaceDN w:val="0"/>
              <w:jc w:val="center"/>
              <w:rPr>
                <w:kern w:val="0"/>
                <w:szCs w:val="21"/>
                <w:lang w:eastAsia="en-US"/>
              </w:rPr>
            </w:pPr>
            <w:r>
              <w:rPr>
                <w:rFonts w:hAnsi="宋体"/>
                <w:kern w:val="0"/>
                <w:szCs w:val="21"/>
                <w:lang w:eastAsia="en-US"/>
              </w:rPr>
              <w:t>★</w:t>
            </w:r>
            <w:r>
              <w:rPr>
                <w:rFonts w:hAnsi="宋体"/>
                <w:kern w:val="0"/>
                <w:szCs w:val="21"/>
              </w:rPr>
              <w:t>视频监控平台</w:t>
            </w:r>
          </w:p>
        </w:tc>
        <w:tc>
          <w:tcPr>
            <w:tcW w:w="6336" w:type="dxa"/>
            <w:vAlign w:val="center"/>
          </w:tcPr>
          <w:p>
            <w:pPr>
              <w:jc w:val="center"/>
              <w:rPr>
                <w:color w:val="333333"/>
                <w:kern w:val="0"/>
                <w:szCs w:val="21"/>
                <w:lang w:bidi="en-US"/>
              </w:rPr>
            </w:pPr>
            <w:r>
              <w:rPr>
                <w:rFonts w:hAnsi="宋体"/>
                <w:color w:val="333333"/>
                <w:kern w:val="0"/>
                <w:szCs w:val="21"/>
                <w:lang w:bidi="en-US"/>
              </w:rPr>
              <w:t>配套视频监控平台，在网络允许的情况下可通过软件远程查看无人机实时拍摄画面。</w:t>
            </w:r>
          </w:p>
        </w:tc>
      </w:tr>
    </w:tbl>
    <w:p>
      <w:pPr>
        <w:snapToGrid w:val="0"/>
        <w:spacing w:line="360" w:lineRule="auto"/>
        <w:ind w:firstLine="482" w:firstLineChars="200"/>
        <w:jc w:val="left"/>
        <w:textAlignment w:val="baseline"/>
        <w:rPr>
          <w:rStyle w:val="182"/>
          <w:b/>
          <w:color w:val="000000"/>
          <w:sz w:val="24"/>
        </w:rPr>
      </w:pPr>
      <w:r>
        <w:rPr>
          <w:rStyle w:val="182"/>
          <w:b/>
          <w:color w:val="000000"/>
          <w:sz w:val="24"/>
        </w:rPr>
        <w:t>三、售后服务要求</w:t>
      </w:r>
    </w:p>
    <w:p>
      <w:pPr>
        <w:spacing w:line="360" w:lineRule="auto"/>
        <w:ind w:firstLine="480" w:firstLineChars="200"/>
        <w:jc w:val="left"/>
        <w:textAlignment w:val="baseline"/>
        <w:rPr>
          <w:rStyle w:val="182"/>
          <w:color w:val="000000"/>
          <w:sz w:val="24"/>
        </w:rPr>
      </w:pPr>
      <w:r>
        <w:rPr>
          <w:rStyle w:val="182"/>
          <w:color w:val="000000"/>
          <w:sz w:val="24"/>
        </w:rPr>
        <w:t>1、设备的质量保修期为</w:t>
      </w:r>
      <w:r>
        <w:rPr>
          <w:rStyle w:val="182"/>
          <w:color w:val="000000"/>
          <w:sz w:val="24"/>
          <w:u w:val="single"/>
        </w:rPr>
        <w:t xml:space="preserve">  36 </w:t>
      </w:r>
      <w:r>
        <w:rPr>
          <w:rStyle w:val="182"/>
          <w:color w:val="000000"/>
          <w:sz w:val="24"/>
        </w:rPr>
        <w:t>个月（但人为破坏、遭雷击等自然灾害除外，属于正常合理的损耗除外），终身跟踪维修。</w:t>
      </w:r>
    </w:p>
    <w:p>
      <w:pPr>
        <w:spacing w:line="360" w:lineRule="auto"/>
        <w:ind w:firstLine="480" w:firstLineChars="200"/>
        <w:jc w:val="left"/>
        <w:textAlignment w:val="baseline"/>
        <w:rPr>
          <w:rStyle w:val="182"/>
          <w:color w:val="000000"/>
          <w:sz w:val="24"/>
        </w:rPr>
      </w:pPr>
      <w:r>
        <w:rPr>
          <w:rStyle w:val="182"/>
          <w:color w:val="000000"/>
          <w:sz w:val="24"/>
        </w:rPr>
        <w:t>2、保修期内若设备非人为原因而出现的质量问题由供应方负责检测维修；并承担修理的所产生的一切费用；若因采购方人为造成的设备故障，供应方有义务协助采购方修复，并可视情况收取材料费；属于正常合理的损耗应由采购方承担。</w:t>
      </w:r>
    </w:p>
    <w:p>
      <w:pPr>
        <w:spacing w:line="360" w:lineRule="auto"/>
        <w:ind w:firstLine="480" w:firstLineChars="200"/>
        <w:jc w:val="left"/>
        <w:textAlignment w:val="baseline"/>
        <w:rPr>
          <w:rStyle w:val="182"/>
          <w:color w:val="000000"/>
          <w:sz w:val="24"/>
        </w:rPr>
      </w:pPr>
      <w:r>
        <w:rPr>
          <w:rStyle w:val="182"/>
          <w:color w:val="000000"/>
          <w:sz w:val="24"/>
        </w:rPr>
        <w:t>4、售后服务响应：出现不能明确的故障时，供应方应全力配合进行检查，半个小时到场，一般故障4个小时内解决，重大故障24个小时内解决。</w:t>
      </w:r>
    </w:p>
    <w:p>
      <w:pPr>
        <w:spacing w:line="360" w:lineRule="auto"/>
        <w:ind w:firstLine="480" w:firstLineChars="200"/>
        <w:jc w:val="left"/>
        <w:textAlignment w:val="baseline"/>
        <w:rPr>
          <w:rStyle w:val="182"/>
          <w:color w:val="000000"/>
          <w:sz w:val="24"/>
        </w:rPr>
      </w:pPr>
      <w:r>
        <w:rPr>
          <w:rStyle w:val="182"/>
          <w:color w:val="000000"/>
          <w:sz w:val="24"/>
        </w:rPr>
        <w:t>5、供应方提供全天24小时免费技术咨询服务，并每个季度电话咨询使用方设备使用的情况，及时解决使用方提出的问题，为使用方提供无微不至的贴心服务。</w:t>
      </w:r>
    </w:p>
    <w:p>
      <w:pPr>
        <w:spacing w:line="360" w:lineRule="auto"/>
        <w:ind w:firstLine="482" w:firstLineChars="200"/>
        <w:jc w:val="left"/>
        <w:rPr>
          <w:b/>
          <w:color w:val="000000"/>
          <w:sz w:val="24"/>
        </w:rPr>
      </w:pPr>
      <w:r>
        <w:rPr>
          <w:b/>
          <w:color w:val="000000"/>
          <w:sz w:val="24"/>
        </w:rPr>
        <w:t>四、 交货时间、地点、质量</w:t>
      </w:r>
    </w:p>
    <w:p>
      <w:pPr>
        <w:spacing w:line="360" w:lineRule="auto"/>
        <w:ind w:firstLine="480" w:firstLineChars="200"/>
        <w:jc w:val="left"/>
        <w:textAlignment w:val="baseline"/>
        <w:rPr>
          <w:rStyle w:val="182"/>
          <w:color w:val="000000"/>
          <w:sz w:val="24"/>
        </w:rPr>
      </w:pPr>
      <w:r>
        <w:rPr>
          <w:rStyle w:val="182"/>
          <w:color w:val="000000"/>
          <w:sz w:val="24"/>
        </w:rPr>
        <w:t>1、交货时间：须在合同签订后30日历天完成供货及安装调试，具体服从采购人要求。</w:t>
      </w:r>
    </w:p>
    <w:p>
      <w:pPr>
        <w:spacing w:line="360" w:lineRule="auto"/>
        <w:ind w:firstLine="480" w:firstLineChars="200"/>
        <w:jc w:val="left"/>
        <w:textAlignment w:val="baseline"/>
        <w:rPr>
          <w:rStyle w:val="182"/>
          <w:color w:val="000000"/>
          <w:sz w:val="24"/>
        </w:rPr>
      </w:pPr>
      <w:r>
        <w:rPr>
          <w:rStyle w:val="182"/>
          <w:color w:val="000000"/>
          <w:sz w:val="24"/>
        </w:rPr>
        <w:t>2、交货地点：采购单位指定地点。</w:t>
      </w:r>
    </w:p>
    <w:p>
      <w:pPr>
        <w:spacing w:line="360" w:lineRule="auto"/>
        <w:ind w:firstLine="480" w:firstLineChars="200"/>
        <w:jc w:val="left"/>
        <w:textAlignment w:val="baseline"/>
        <w:rPr>
          <w:rStyle w:val="182"/>
          <w:color w:val="000000"/>
          <w:sz w:val="24"/>
        </w:rPr>
      </w:pPr>
      <w:r>
        <w:rPr>
          <w:rStyle w:val="182"/>
          <w:color w:val="000000"/>
          <w:sz w:val="24"/>
        </w:rPr>
        <w:t>3、质量要求：符合国家和行业有关标准及规范，确保一次性验收通过。</w:t>
      </w:r>
    </w:p>
    <w:p>
      <w:pPr>
        <w:snapToGrid w:val="0"/>
        <w:spacing w:line="360" w:lineRule="auto"/>
        <w:ind w:firstLine="480" w:firstLineChars="200"/>
        <w:jc w:val="left"/>
        <w:rPr>
          <w:sz w:val="24"/>
        </w:rPr>
      </w:pPr>
    </w:p>
    <w:p>
      <w:pPr>
        <w:snapToGrid w:val="0"/>
        <w:spacing w:line="360" w:lineRule="auto"/>
        <w:ind w:firstLine="730" w:firstLineChars="202"/>
        <w:jc w:val="center"/>
        <w:rPr>
          <w:b/>
          <w:color w:val="000000"/>
          <w:sz w:val="36"/>
          <w:szCs w:val="36"/>
        </w:rPr>
      </w:pPr>
      <w:r>
        <w:rPr>
          <w:b/>
          <w:color w:val="000000"/>
          <w:sz w:val="36"/>
          <w:szCs w:val="36"/>
        </w:rPr>
        <w:br w:type="page"/>
      </w:r>
      <w:r>
        <w:rPr>
          <w:b/>
          <w:color w:val="000000"/>
          <w:sz w:val="36"/>
          <w:szCs w:val="36"/>
        </w:rPr>
        <w:t>第四部分  磋商程序和内容</w:t>
      </w:r>
    </w:p>
    <w:p>
      <w:pPr>
        <w:autoSpaceDE w:val="0"/>
        <w:autoSpaceDN w:val="0"/>
        <w:adjustRightInd w:val="0"/>
        <w:snapToGrid w:val="0"/>
        <w:spacing w:line="360" w:lineRule="auto"/>
        <w:ind w:firstLine="482" w:firstLineChars="200"/>
        <w:jc w:val="left"/>
        <w:rPr>
          <w:b/>
          <w:bCs/>
          <w:color w:val="000000"/>
          <w:sz w:val="24"/>
        </w:rPr>
      </w:pPr>
      <w:r>
        <w:rPr>
          <w:b/>
          <w:bCs/>
          <w:color w:val="000000"/>
          <w:sz w:val="24"/>
        </w:rPr>
        <w:t>一、采购人组织磋商活动</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1、成立竞争性磋商小组。竞争性磋商小组由采购人代表和评审专家共3人以上单数组成，其中评审专家人数不得少于竞争性磋商小组成员总数的2/3。采购人不得以评审专家身份参加本部门或本单位采购项目的评审。采购代理机构人员不得参加本机构代理的采购项目的评审。</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采用竞争性磋商的政府采购项目，评审专家应当从政府采购评审专家库内相关专业的专家名单中随机抽取。技术复杂、专业性强的竞争性磋商采购项目，通过随机方式难以确定合适的评审专家的，经主管预算单位同意，可以自行选定评审专家。技术复杂、专业性强的竞争性磋商采购项目，评审专家中应当包含1名法律专家。</w:t>
      </w:r>
    </w:p>
    <w:p>
      <w:pPr>
        <w:snapToGrid w:val="0"/>
        <w:spacing w:line="360" w:lineRule="auto"/>
        <w:ind w:firstLine="480" w:firstLineChars="200"/>
        <w:jc w:val="left"/>
        <w:rPr>
          <w:color w:val="000000"/>
          <w:sz w:val="24"/>
        </w:rPr>
      </w:pPr>
      <w:r>
        <w:rPr>
          <w:color w:val="000000"/>
          <w:sz w:val="24"/>
        </w:rPr>
        <w:t>2、竞争性磋商小组的职责：</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评审专家应当遵守评审工作纪律，不得泄露评审情况和评审中获悉的商业秘密。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磋商小组在评审过程中发现供应商有行贿、提供虚假材料或者串通等违法行为的，应当及时向采购人报告。</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评审专家在评审过程中受到非法干涉的，应当及时向纪检、监察等部门举报。</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磋商文件内容违反国家有关强制性规定的，磋商小组应当停止评审并向采购人或者采购代理机构说明情况。</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3、竞争性磋商小组成员的义务：</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遵纪守法，客观、公正、廉洁地履行职责；根据采购文件的规定独立进行评审，对个人的评审意见承担法律责任；参与评审报告的起草；配合采购人、采购中心答复供应商提出的质疑；配合财政部门的投诉处理和监督检查工作。</w:t>
      </w:r>
    </w:p>
    <w:p>
      <w:pPr>
        <w:pStyle w:val="90"/>
        <w:snapToGrid w:val="0"/>
        <w:spacing w:line="360" w:lineRule="auto"/>
        <w:ind w:firstLine="482" w:firstLineChars="200"/>
        <w:contextualSpacing/>
        <w:jc w:val="left"/>
        <w:rPr>
          <w:rFonts w:ascii="Times New Roman" w:hAnsi="Times New Roman" w:eastAsia="宋体"/>
          <w:b/>
          <w:bCs/>
          <w:color w:val="000000"/>
          <w:kern w:val="2"/>
          <w:sz w:val="24"/>
          <w:szCs w:val="24"/>
        </w:rPr>
      </w:pPr>
      <w:r>
        <w:rPr>
          <w:rFonts w:ascii="Times New Roman" w:hAnsi="Times New Roman" w:eastAsia="宋体"/>
          <w:b/>
          <w:bCs/>
          <w:color w:val="000000"/>
          <w:kern w:val="2"/>
          <w:sz w:val="24"/>
          <w:szCs w:val="24"/>
        </w:rPr>
        <w:t>二、供应商的法定代表人或授权人须持本人身份证准时参加磋商。</w:t>
      </w:r>
    </w:p>
    <w:p>
      <w:pPr>
        <w:autoSpaceDE w:val="0"/>
        <w:autoSpaceDN w:val="0"/>
        <w:adjustRightInd w:val="0"/>
        <w:snapToGrid w:val="0"/>
        <w:spacing w:line="360" w:lineRule="auto"/>
        <w:ind w:firstLine="482" w:firstLineChars="200"/>
        <w:jc w:val="left"/>
        <w:rPr>
          <w:b/>
          <w:bCs/>
          <w:color w:val="000000"/>
          <w:sz w:val="24"/>
        </w:rPr>
      </w:pPr>
      <w:r>
        <w:rPr>
          <w:b/>
          <w:bCs/>
          <w:color w:val="000000"/>
          <w:sz w:val="24"/>
        </w:rPr>
        <w:t>三、评审程序、内容</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2、磋商小组所有成员应当集中与单一供应商分别进行磋商，并给予所有参加磋商的供应商平等的磋商机会。</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对磋商文件作出的实质性变动是磋商文件的有效组成部分，磋商小组应当及时以书面形式同时通知所有参加磋商的供应商。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供应商应当按照磋商文件的变动情况和磋商小组的要求重新提交响应文件，并由其法定代表人或授权代表签字或者加盖公章。由授权代表签字的，应当附法定代表人授权书。</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4、最后报价是供应商响应文件的有效组成部分。除非在磋商中磋商小组对采购人需求内容作了调整增加，或对采购内容作了实质性变更，否则</w:t>
      </w:r>
      <w:r>
        <w:rPr>
          <w:rFonts w:ascii="Times New Roman" w:hAnsi="Times New Roman" w:eastAsia="宋体"/>
          <w:b/>
          <w:color w:val="000000"/>
          <w:kern w:val="2"/>
          <w:sz w:val="24"/>
          <w:szCs w:val="24"/>
        </w:rPr>
        <w:t>采购人不接受供应商高于自己前一轮的磋商报价</w:t>
      </w:r>
      <w:r>
        <w:rPr>
          <w:rFonts w:ascii="Times New Roman" w:hAnsi="Times New Roman" w:eastAsia="宋体"/>
          <w:color w:val="000000"/>
          <w:kern w:val="2"/>
          <w:sz w:val="24"/>
          <w:szCs w:val="24"/>
        </w:rPr>
        <w:t>。</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5、已提交响应文件的供应商，在提交最后报价之前，可以根据磋商情况退出磋商</w:t>
      </w:r>
      <w:r>
        <w:rPr>
          <w:rFonts w:ascii="Times New Roman" w:hAnsi="Times New Roman" w:eastAsia="宋体"/>
          <w:sz w:val="24"/>
          <w:szCs w:val="24"/>
        </w:rPr>
        <w:t>，须</w:t>
      </w:r>
      <w:r>
        <w:rPr>
          <w:rFonts w:ascii="Times New Roman" w:hAnsi="Times New Roman" w:eastAsia="___WRD_EMBED_SUB_38"/>
          <w:sz w:val="24"/>
          <w:szCs w:val="24"/>
        </w:rPr>
        <w:t>以书</w:t>
      </w:r>
      <w:r>
        <w:rPr>
          <w:rFonts w:ascii="Times New Roman" w:hAnsi="Times New Roman" w:eastAsia="宋体"/>
          <w:sz w:val="24"/>
          <w:szCs w:val="24"/>
        </w:rPr>
        <w:t>面形式说</w:t>
      </w:r>
      <w:r>
        <w:rPr>
          <w:rFonts w:ascii="Times New Roman" w:hAnsi="Times New Roman" w:eastAsia="___WRD_EMBED_SUB_38"/>
          <w:sz w:val="24"/>
          <w:szCs w:val="24"/>
        </w:rPr>
        <w:t>明</w:t>
      </w:r>
      <w:r>
        <w:rPr>
          <w:rFonts w:ascii="Times New Roman" w:hAnsi="Times New Roman" w:eastAsia="宋体"/>
          <w:sz w:val="24"/>
          <w:szCs w:val="24"/>
        </w:rPr>
        <w:t>退</w:t>
      </w:r>
      <w:r>
        <w:rPr>
          <w:rFonts w:ascii="Times New Roman" w:hAnsi="Times New Roman" w:eastAsia="___WRD_EMBED_SUB_38"/>
          <w:sz w:val="24"/>
          <w:szCs w:val="24"/>
        </w:rPr>
        <w:t>出磋商的</w:t>
      </w:r>
      <w:r>
        <w:rPr>
          <w:rFonts w:ascii="Times New Roman" w:hAnsi="Times New Roman" w:eastAsia="宋体"/>
          <w:sz w:val="24"/>
          <w:szCs w:val="24"/>
        </w:rPr>
        <w:t>原因</w:t>
      </w:r>
      <w:r>
        <w:rPr>
          <w:rFonts w:ascii="Times New Roman" w:hAnsi="Times New Roman" w:eastAsia="___WRD_EMBED_SUB_38"/>
          <w:sz w:val="24"/>
          <w:szCs w:val="24"/>
        </w:rPr>
        <w:t>，</w:t>
      </w:r>
      <w:r>
        <w:rPr>
          <w:rFonts w:ascii="Times New Roman" w:hAnsi="Times New Roman" w:eastAsia="宋体"/>
          <w:sz w:val="24"/>
          <w:szCs w:val="24"/>
        </w:rPr>
        <w:t>经</w:t>
      </w:r>
      <w:r>
        <w:rPr>
          <w:rFonts w:ascii="Times New Roman" w:hAnsi="Times New Roman" w:eastAsia="___WRD_EMBED_SUB_38"/>
          <w:sz w:val="24"/>
          <w:szCs w:val="24"/>
        </w:rPr>
        <w:t>磋商</w:t>
      </w:r>
      <w:r>
        <w:rPr>
          <w:rFonts w:ascii="Times New Roman" w:hAnsi="Times New Roman" w:eastAsia="宋体"/>
          <w:sz w:val="24"/>
          <w:szCs w:val="24"/>
        </w:rPr>
        <w:t>小组</w:t>
      </w:r>
      <w:r>
        <w:rPr>
          <w:rFonts w:ascii="Times New Roman" w:hAnsi="Times New Roman" w:eastAsia="___WRD_EMBED_SUB_38"/>
          <w:sz w:val="24"/>
          <w:szCs w:val="24"/>
        </w:rPr>
        <w:t>同意</w:t>
      </w:r>
      <w:r>
        <w:rPr>
          <w:rFonts w:ascii="Times New Roman" w:hAnsi="Times New Roman" w:eastAsia="宋体"/>
          <w:sz w:val="24"/>
          <w:szCs w:val="24"/>
        </w:rPr>
        <w:t>可</w:t>
      </w:r>
      <w:r>
        <w:rPr>
          <w:rFonts w:ascii="Times New Roman" w:hAnsi="Times New Roman" w:eastAsia="___WRD_EMBED_SUB_38"/>
          <w:sz w:val="24"/>
          <w:szCs w:val="24"/>
        </w:rPr>
        <w:t>以</w:t>
      </w:r>
      <w:r>
        <w:rPr>
          <w:rFonts w:ascii="Times New Roman" w:hAnsi="Times New Roman" w:eastAsia="宋体"/>
          <w:sz w:val="24"/>
          <w:szCs w:val="24"/>
        </w:rPr>
        <w:t>退</w:t>
      </w:r>
      <w:r>
        <w:rPr>
          <w:rFonts w:ascii="Times New Roman" w:hAnsi="Times New Roman" w:eastAsia="___WRD_EMBED_SUB_38"/>
          <w:sz w:val="24"/>
          <w:szCs w:val="24"/>
        </w:rPr>
        <w:t>出磋商</w:t>
      </w:r>
      <w:r>
        <w:rPr>
          <w:rFonts w:ascii="Times New Roman" w:hAnsi="Times New Roman" w:eastAsia="宋体"/>
          <w:color w:val="000000"/>
          <w:kern w:val="2"/>
          <w:sz w:val="24"/>
          <w:szCs w:val="24"/>
        </w:rPr>
        <w:t>。</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6、在磋商中，磋商的任何一方不得透露与磋商有关的其他响应磋商的供应商的技术资料、价格及其他信息。</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磋商时间由磋商小组掌握。</w:t>
      </w:r>
    </w:p>
    <w:p>
      <w:pPr>
        <w:pStyle w:val="90"/>
        <w:snapToGrid w:val="0"/>
        <w:spacing w:line="360" w:lineRule="auto"/>
        <w:ind w:firstLine="482" w:firstLineChars="200"/>
        <w:contextualSpacing/>
        <w:jc w:val="left"/>
        <w:rPr>
          <w:rFonts w:ascii="Times New Roman" w:hAnsi="Times New Roman" w:eastAsia="宋体"/>
          <w:b/>
          <w:bCs/>
          <w:color w:val="000000"/>
          <w:kern w:val="2"/>
          <w:sz w:val="24"/>
          <w:szCs w:val="24"/>
        </w:rPr>
      </w:pPr>
      <w:r>
        <w:rPr>
          <w:rFonts w:ascii="Times New Roman" w:hAnsi="Times New Roman" w:eastAsia="宋体"/>
          <w:b/>
          <w:bCs/>
          <w:color w:val="000000"/>
          <w:kern w:val="2"/>
          <w:sz w:val="24"/>
          <w:szCs w:val="24"/>
        </w:rPr>
        <w:t>四、评审方法(综合评分法)</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经磋商确定最终采购需求和提交最后报价的供应商后，由磋商小组采用综合评分法对提交最后报价的供应商的响应文件和最后报价进行综合评分。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综合评分法，是指响应文件满足磋商文件全部实质性要求且按评审因素的量化指标评审得分最高的供应商为成交候选供应商的评审方法。</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评审时，磋商小组各成员应当独立对每个有效响应的文件进行评价、打分，然后汇总每个供应商每项评分因素的得分。</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 xml:space="preserve">本项目磋商的技术商务和报价评审总分值为100分。两部分评审因素比重如下： </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技术商务分值占总</w:t>
      </w:r>
      <w:r>
        <w:rPr>
          <w:rFonts w:ascii="Times New Roman" w:hAnsi="Times New Roman" w:eastAsia="宋体"/>
          <w:kern w:val="2"/>
          <w:sz w:val="24"/>
          <w:szCs w:val="24"/>
        </w:rPr>
        <w:t>分值的比重为</w:t>
      </w:r>
      <w:r>
        <w:rPr>
          <w:rFonts w:ascii="Times New Roman" w:hAnsi="Times New Roman" w:eastAsia="宋体"/>
          <w:b/>
          <w:kern w:val="2"/>
          <w:sz w:val="24"/>
          <w:szCs w:val="24"/>
          <w:u w:val="single"/>
        </w:rPr>
        <w:t xml:space="preserve"> 70%（权重）</w:t>
      </w:r>
      <w:r>
        <w:rPr>
          <w:rFonts w:ascii="Times New Roman" w:hAnsi="Times New Roman" w:eastAsia="宋体"/>
          <w:kern w:val="2"/>
          <w:sz w:val="24"/>
          <w:szCs w:val="24"/>
        </w:rPr>
        <w:t>，按所有评委评分的算术平均值计算，分值四舍五入保留两位小数；报价分值占总分值的比重为</w:t>
      </w:r>
      <w:r>
        <w:rPr>
          <w:rFonts w:ascii="Times New Roman" w:hAnsi="Times New Roman" w:eastAsia="宋体"/>
          <w:b/>
          <w:kern w:val="2"/>
          <w:sz w:val="24"/>
          <w:szCs w:val="24"/>
          <w:u w:val="single"/>
        </w:rPr>
        <w:t xml:space="preserve"> 30%（权重） </w:t>
      </w:r>
      <w:r>
        <w:rPr>
          <w:rFonts w:ascii="Times New Roman" w:hAnsi="Times New Roman" w:eastAsia="宋体"/>
          <w:kern w:val="2"/>
          <w:sz w:val="24"/>
          <w:szCs w:val="24"/>
        </w:rPr>
        <w:t>，统一采用低价优先法计算直接取</w:t>
      </w:r>
      <w:r>
        <w:rPr>
          <w:rFonts w:ascii="Times New Roman" w:hAnsi="Times New Roman" w:eastAsia="宋体"/>
          <w:color w:val="000000"/>
          <w:kern w:val="2"/>
          <w:sz w:val="24"/>
          <w:szCs w:val="24"/>
        </w:rPr>
        <w:t>得，分值四舍五入保留两位小数。两项得分相加为供应商的综合得分，综合得分最高的供应商推荐为项目第一成交候选人，并出具评审磋商报告。</w:t>
      </w:r>
    </w:p>
    <w:p>
      <w:pPr>
        <w:pStyle w:val="90"/>
        <w:snapToGrid w:val="0"/>
        <w:spacing w:line="360" w:lineRule="auto"/>
        <w:ind w:firstLine="480" w:firstLineChars="200"/>
        <w:contextualSpacing/>
        <w:jc w:val="left"/>
        <w:rPr>
          <w:rFonts w:ascii="Times New Roman" w:hAnsi="Times New Roman" w:eastAsia="宋体"/>
          <w:color w:val="000000"/>
          <w:kern w:val="2"/>
          <w:sz w:val="24"/>
          <w:szCs w:val="24"/>
        </w:rPr>
      </w:pPr>
      <w:r>
        <w:rPr>
          <w:rFonts w:ascii="Times New Roman" w:hAnsi="Times New Roman" w:eastAsia="宋体"/>
          <w:color w:val="000000"/>
          <w:kern w:val="2"/>
          <w:sz w:val="24"/>
          <w:szCs w:val="24"/>
        </w:rPr>
        <w:t>确定成交候选人的特殊情况处理：若总分相同，则按最终报价响应得分高者优先中标；若总分且最终报价响应得分相同，则采取现场抽签的方式确定（投标供应商的抽签顺序分别为各投标供应商递交响应文件签到顺序号）。</w:t>
      </w:r>
    </w:p>
    <w:p>
      <w:pPr>
        <w:snapToGrid w:val="0"/>
        <w:spacing w:line="360" w:lineRule="auto"/>
        <w:ind w:firstLine="480" w:firstLineChars="200"/>
        <w:jc w:val="left"/>
        <w:rPr>
          <w:color w:val="000000"/>
          <w:sz w:val="24"/>
        </w:rPr>
      </w:pPr>
      <w:r>
        <w:rPr>
          <w:color w:val="000000"/>
          <w:sz w:val="24"/>
        </w:rPr>
        <w:t>(一)审查响应文件的有效性、完整性、响应程度</w:t>
      </w:r>
    </w:p>
    <w:p>
      <w:pPr>
        <w:snapToGrid w:val="0"/>
        <w:spacing w:line="360" w:lineRule="auto"/>
        <w:ind w:firstLine="480" w:firstLineChars="200"/>
        <w:jc w:val="left"/>
        <w:rPr>
          <w:color w:val="000000"/>
          <w:sz w:val="24"/>
        </w:rPr>
      </w:pPr>
      <w:r>
        <w:rPr>
          <w:color w:val="000000"/>
          <w:sz w:val="24"/>
        </w:rPr>
        <w:t>1、供应商资格是否符合；</w:t>
      </w:r>
    </w:p>
    <w:p>
      <w:pPr>
        <w:snapToGrid w:val="0"/>
        <w:spacing w:line="360" w:lineRule="auto"/>
        <w:ind w:firstLine="480" w:firstLineChars="200"/>
        <w:jc w:val="left"/>
        <w:rPr>
          <w:color w:val="000000"/>
          <w:sz w:val="24"/>
        </w:rPr>
      </w:pPr>
      <w:r>
        <w:rPr>
          <w:color w:val="000000"/>
          <w:sz w:val="24"/>
        </w:rPr>
        <w:t>2、响应文件是否完整；</w:t>
      </w:r>
    </w:p>
    <w:p>
      <w:pPr>
        <w:snapToGrid w:val="0"/>
        <w:spacing w:line="360" w:lineRule="auto"/>
        <w:ind w:firstLine="480" w:firstLineChars="200"/>
        <w:jc w:val="left"/>
        <w:rPr>
          <w:color w:val="000000"/>
          <w:sz w:val="24"/>
        </w:rPr>
      </w:pPr>
      <w:r>
        <w:rPr>
          <w:color w:val="000000"/>
          <w:sz w:val="24"/>
        </w:rPr>
        <w:t>3、响应文件是否恰当地签署；</w:t>
      </w:r>
    </w:p>
    <w:p>
      <w:pPr>
        <w:snapToGrid w:val="0"/>
        <w:spacing w:line="360" w:lineRule="auto"/>
        <w:ind w:firstLine="480" w:firstLineChars="200"/>
        <w:jc w:val="left"/>
        <w:rPr>
          <w:color w:val="000000"/>
          <w:sz w:val="24"/>
        </w:rPr>
      </w:pPr>
      <w:r>
        <w:rPr>
          <w:color w:val="000000"/>
          <w:sz w:val="24"/>
        </w:rPr>
        <w:t>4、是否作出实质性响应（是否有实质性响应，只根据响应文件本身，而不寻求外部证据）；</w:t>
      </w:r>
    </w:p>
    <w:p>
      <w:pPr>
        <w:snapToGrid w:val="0"/>
        <w:spacing w:line="360" w:lineRule="auto"/>
        <w:ind w:firstLine="480" w:firstLineChars="200"/>
        <w:jc w:val="left"/>
        <w:rPr>
          <w:color w:val="000000"/>
          <w:sz w:val="24"/>
        </w:rPr>
      </w:pPr>
      <w:r>
        <w:rPr>
          <w:color w:val="000000"/>
          <w:sz w:val="24"/>
        </w:rPr>
        <w:t>5、是否有计算错误。</w:t>
      </w:r>
    </w:p>
    <w:p>
      <w:pPr>
        <w:snapToGrid w:val="0"/>
        <w:spacing w:line="360" w:lineRule="auto"/>
        <w:ind w:firstLine="480" w:firstLineChars="200"/>
        <w:jc w:val="left"/>
        <w:rPr>
          <w:color w:val="000000"/>
          <w:sz w:val="24"/>
        </w:rPr>
      </w:pPr>
      <w:r>
        <w:rPr>
          <w:color w:val="000000"/>
          <w:sz w:val="24"/>
        </w:rPr>
        <w:t>(二)误差纠正</w:t>
      </w:r>
    </w:p>
    <w:p>
      <w:pPr>
        <w:snapToGrid w:val="0"/>
        <w:spacing w:line="360" w:lineRule="auto"/>
        <w:ind w:firstLine="480" w:firstLineChars="200"/>
        <w:jc w:val="left"/>
        <w:rPr>
          <w:color w:val="000000"/>
          <w:sz w:val="24"/>
        </w:rPr>
      </w:pPr>
      <w:r>
        <w:rPr>
          <w:color w:val="000000"/>
          <w:sz w:val="24"/>
        </w:rPr>
        <w:t>1、如果单价汇总金额与总价金额有出入，以单价金额计算结果为准；</w:t>
      </w:r>
    </w:p>
    <w:p>
      <w:pPr>
        <w:snapToGrid w:val="0"/>
        <w:spacing w:line="360" w:lineRule="auto"/>
        <w:ind w:firstLine="480" w:firstLineChars="200"/>
        <w:jc w:val="left"/>
        <w:rPr>
          <w:color w:val="000000"/>
          <w:sz w:val="24"/>
        </w:rPr>
      </w:pPr>
      <w:r>
        <w:rPr>
          <w:color w:val="000000"/>
          <w:sz w:val="24"/>
        </w:rPr>
        <w:t>2、单价金额小数点有明显错位的，应以总价为准；</w:t>
      </w:r>
    </w:p>
    <w:p>
      <w:pPr>
        <w:snapToGrid w:val="0"/>
        <w:spacing w:line="360" w:lineRule="auto"/>
        <w:ind w:firstLine="480" w:firstLineChars="200"/>
        <w:jc w:val="left"/>
        <w:rPr>
          <w:color w:val="000000"/>
          <w:sz w:val="24"/>
        </w:rPr>
      </w:pPr>
      <w:r>
        <w:rPr>
          <w:color w:val="000000"/>
          <w:sz w:val="24"/>
        </w:rPr>
        <w:t>3、正本与副本有矛盾的，以正本为准；</w:t>
      </w:r>
    </w:p>
    <w:p>
      <w:pPr>
        <w:snapToGrid w:val="0"/>
        <w:spacing w:line="360" w:lineRule="auto"/>
        <w:ind w:firstLine="480" w:firstLineChars="200"/>
        <w:jc w:val="left"/>
        <w:rPr>
          <w:color w:val="000000"/>
          <w:sz w:val="24"/>
        </w:rPr>
      </w:pPr>
      <w:r>
        <w:rPr>
          <w:color w:val="000000"/>
          <w:sz w:val="24"/>
        </w:rPr>
        <w:t>4、若文件大写表示的数据与数字表示的有差别，以大写表示的数据为准。</w:t>
      </w:r>
    </w:p>
    <w:p>
      <w:pPr>
        <w:tabs>
          <w:tab w:val="left" w:pos="6555"/>
          <w:tab w:val="right" w:pos="8306"/>
        </w:tabs>
        <w:snapToGrid w:val="0"/>
        <w:spacing w:line="360" w:lineRule="auto"/>
        <w:ind w:firstLine="480" w:firstLineChars="200"/>
        <w:jc w:val="left"/>
        <w:rPr>
          <w:color w:val="000000"/>
          <w:sz w:val="24"/>
        </w:rPr>
      </w:pPr>
      <w:r>
        <w:rPr>
          <w:color w:val="000000"/>
          <w:sz w:val="24"/>
        </w:rPr>
        <w:t>(三)出现下列情形之一的，作无效响应处理：</w:t>
      </w:r>
    </w:p>
    <w:p>
      <w:pPr>
        <w:tabs>
          <w:tab w:val="left" w:pos="6555"/>
        </w:tabs>
        <w:snapToGrid w:val="0"/>
        <w:spacing w:line="360" w:lineRule="auto"/>
        <w:ind w:firstLine="480" w:firstLineChars="200"/>
        <w:jc w:val="left"/>
        <w:rPr>
          <w:color w:val="000000"/>
          <w:sz w:val="24"/>
        </w:rPr>
      </w:pPr>
      <w:r>
        <w:rPr>
          <w:color w:val="000000"/>
          <w:sz w:val="24"/>
        </w:rPr>
        <w:t>1、未按照磋商文件规定要求装订、密封、签署、盖章的；</w:t>
      </w:r>
    </w:p>
    <w:p>
      <w:pPr>
        <w:tabs>
          <w:tab w:val="left" w:pos="6555"/>
        </w:tabs>
        <w:snapToGrid w:val="0"/>
        <w:spacing w:line="360" w:lineRule="auto"/>
        <w:ind w:firstLine="480" w:firstLineChars="200"/>
        <w:jc w:val="left"/>
        <w:rPr>
          <w:color w:val="000000"/>
          <w:sz w:val="24"/>
        </w:rPr>
      </w:pPr>
      <w:r>
        <w:rPr>
          <w:color w:val="000000"/>
          <w:sz w:val="24"/>
        </w:rPr>
        <w:t>2、不具备磋商文件中规定的资格要求的；</w:t>
      </w:r>
    </w:p>
    <w:p>
      <w:pPr>
        <w:tabs>
          <w:tab w:val="left" w:pos="6555"/>
        </w:tabs>
        <w:snapToGrid w:val="0"/>
        <w:spacing w:line="360" w:lineRule="auto"/>
        <w:ind w:firstLine="480" w:firstLineChars="200"/>
        <w:jc w:val="left"/>
        <w:rPr>
          <w:color w:val="000000"/>
          <w:sz w:val="24"/>
        </w:rPr>
      </w:pPr>
      <w:r>
        <w:rPr>
          <w:color w:val="000000"/>
          <w:sz w:val="24"/>
        </w:rPr>
        <w:t>3、响应报价超出预算的；</w:t>
      </w:r>
    </w:p>
    <w:p>
      <w:pPr>
        <w:tabs>
          <w:tab w:val="left" w:pos="6555"/>
        </w:tabs>
        <w:snapToGrid w:val="0"/>
        <w:spacing w:line="360" w:lineRule="auto"/>
        <w:ind w:firstLine="480" w:firstLineChars="200"/>
        <w:jc w:val="left"/>
        <w:rPr>
          <w:color w:val="000000"/>
          <w:sz w:val="24"/>
        </w:rPr>
      </w:pPr>
      <w:r>
        <w:rPr>
          <w:color w:val="000000"/>
          <w:sz w:val="24"/>
        </w:rPr>
        <w:t>4、不符合法律、法规和磋商文件中规定的其他实质性要求的；</w:t>
      </w:r>
    </w:p>
    <w:p>
      <w:pPr>
        <w:snapToGrid w:val="0"/>
        <w:spacing w:line="360" w:lineRule="auto"/>
        <w:ind w:firstLine="480" w:firstLineChars="200"/>
        <w:jc w:val="left"/>
        <w:rPr>
          <w:color w:val="000000"/>
          <w:sz w:val="24"/>
        </w:rPr>
      </w:pPr>
      <w:r>
        <w:rPr>
          <w:color w:val="000000"/>
          <w:sz w:val="24"/>
        </w:rPr>
        <w:t xml:space="preserve"> (四)出现下列情形之一的，磋商失败：</w:t>
      </w:r>
    </w:p>
    <w:p>
      <w:pPr>
        <w:snapToGrid w:val="0"/>
        <w:spacing w:line="360" w:lineRule="auto"/>
        <w:ind w:firstLine="480" w:firstLineChars="200"/>
        <w:jc w:val="left"/>
        <w:rPr>
          <w:color w:val="000000"/>
          <w:sz w:val="24"/>
        </w:rPr>
      </w:pPr>
      <w:r>
        <w:rPr>
          <w:color w:val="000000"/>
          <w:sz w:val="24"/>
        </w:rPr>
        <w:t>1、符合条件的供应商或者对磋商文件作实质响应的供应商不足3家的；</w:t>
      </w:r>
    </w:p>
    <w:p>
      <w:pPr>
        <w:snapToGrid w:val="0"/>
        <w:spacing w:line="360" w:lineRule="auto"/>
        <w:ind w:firstLine="480" w:firstLineChars="200"/>
        <w:jc w:val="left"/>
        <w:rPr>
          <w:color w:val="000000"/>
          <w:sz w:val="24"/>
        </w:rPr>
      </w:pPr>
      <w:r>
        <w:rPr>
          <w:color w:val="000000"/>
          <w:sz w:val="24"/>
        </w:rPr>
        <w:t>2、出现影响采购公正的违法违规行为的；</w:t>
      </w:r>
    </w:p>
    <w:p>
      <w:pPr>
        <w:snapToGrid w:val="0"/>
        <w:spacing w:line="360" w:lineRule="auto"/>
        <w:ind w:firstLine="480" w:firstLineChars="200"/>
        <w:jc w:val="left"/>
        <w:rPr>
          <w:color w:val="000000"/>
          <w:sz w:val="24"/>
        </w:rPr>
      </w:pPr>
      <w:r>
        <w:rPr>
          <w:color w:val="000000"/>
          <w:sz w:val="24"/>
        </w:rPr>
        <w:t>3、供应商的最后报价均超过了采购预算，采购人不能支付的；</w:t>
      </w:r>
    </w:p>
    <w:p>
      <w:pPr>
        <w:snapToGrid w:val="0"/>
        <w:spacing w:line="360" w:lineRule="auto"/>
        <w:ind w:firstLine="480" w:firstLineChars="200"/>
        <w:jc w:val="left"/>
        <w:rPr>
          <w:color w:val="000000"/>
          <w:sz w:val="24"/>
        </w:rPr>
      </w:pPr>
      <w:r>
        <w:rPr>
          <w:color w:val="000000"/>
          <w:sz w:val="24"/>
        </w:rPr>
        <w:t>4、因重大变故，采购任务取消的。</w:t>
      </w:r>
    </w:p>
    <w:p>
      <w:pPr>
        <w:snapToGrid w:val="0"/>
        <w:spacing w:line="360" w:lineRule="auto"/>
        <w:ind w:firstLine="480" w:firstLineChars="200"/>
        <w:jc w:val="left"/>
        <w:rPr>
          <w:color w:val="000000"/>
          <w:sz w:val="24"/>
        </w:rPr>
      </w:pPr>
      <w:r>
        <w:rPr>
          <w:color w:val="000000"/>
          <w:sz w:val="24"/>
        </w:rPr>
        <w:t>除资格性检查认定错误、分值汇总计算错误、分项评分超出评分标准范围、客观分评分不一致、经磋商小组一致认定评分畸高、畸低的情形外，采购人不以任何理由组织重新评审。采购人发现磋商小组未按照磋商文件规定的评审标准进行评审的，重新开展采购活动，并同时书面报告本级财政部门。</w:t>
      </w:r>
    </w:p>
    <w:p>
      <w:pPr>
        <w:snapToGrid w:val="0"/>
        <w:spacing w:line="360" w:lineRule="auto"/>
        <w:ind w:firstLine="482" w:firstLineChars="200"/>
        <w:jc w:val="left"/>
        <w:rPr>
          <w:b/>
          <w:bCs/>
          <w:color w:val="000000"/>
          <w:sz w:val="24"/>
        </w:rPr>
      </w:pPr>
      <w:r>
        <w:rPr>
          <w:b/>
          <w:bCs/>
          <w:color w:val="000000"/>
          <w:sz w:val="24"/>
        </w:rPr>
        <w:t>五、评审标准</w:t>
      </w:r>
    </w:p>
    <w:p>
      <w:pPr>
        <w:snapToGrid w:val="0"/>
        <w:spacing w:line="360" w:lineRule="auto"/>
        <w:ind w:firstLine="480" w:firstLineChars="200"/>
        <w:jc w:val="left"/>
        <w:rPr>
          <w:b/>
          <w:bCs/>
          <w:sz w:val="24"/>
        </w:rPr>
      </w:pPr>
      <w:r>
        <w:rPr>
          <w:color w:val="000000"/>
          <w:sz w:val="24"/>
        </w:rPr>
        <w:t>技术商务部分评审结束后，再开启最后报价计算分值。总分值为100分，加分和减分因素除外。</w:t>
      </w:r>
    </w:p>
    <w:p>
      <w:pPr>
        <w:snapToGrid w:val="0"/>
        <w:spacing w:line="360" w:lineRule="auto"/>
        <w:ind w:left="482"/>
        <w:jc w:val="left"/>
      </w:pPr>
      <w:r>
        <w:rPr>
          <w:b/>
          <w:bCs/>
          <w:sz w:val="24"/>
        </w:rPr>
        <w:t>（一）技术商务响应文件(满分70分)</w:t>
      </w:r>
    </w:p>
    <w:tbl>
      <w:tblPr>
        <w:tblStyle w:val="37"/>
        <w:tblpPr w:leftFromText="180" w:rightFromText="180" w:vertAnchor="text" w:horzAnchor="page" w:tblpX="1416" w:tblpY="442"/>
        <w:tblOverlap w:val="never"/>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18"/>
        <w:gridCol w:w="709"/>
        <w:gridCol w:w="7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baseline"/>
              <w:rPr>
                <w:rStyle w:val="182"/>
                <w:b/>
                <w:kern w:val="0"/>
                <w:szCs w:val="21"/>
              </w:rPr>
            </w:pPr>
            <w:r>
              <w:rPr>
                <w:rStyle w:val="182"/>
                <w:b/>
                <w:bCs/>
                <w:szCs w:val="21"/>
                <w:lang w:val="zh-CN"/>
              </w:rPr>
              <w:t>评标项目</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baseline"/>
              <w:rPr>
                <w:rStyle w:val="182"/>
                <w:b/>
                <w:color w:val="000000"/>
                <w:kern w:val="0"/>
                <w:szCs w:val="21"/>
              </w:rPr>
            </w:pPr>
            <w:r>
              <w:rPr>
                <w:rStyle w:val="182"/>
                <w:b/>
                <w:color w:val="000000"/>
                <w:kern w:val="0"/>
                <w:szCs w:val="21"/>
              </w:rPr>
              <w:t>分值</w:t>
            </w:r>
          </w:p>
        </w:tc>
        <w:tc>
          <w:tcPr>
            <w:tcW w:w="722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baseline"/>
              <w:rPr>
                <w:rStyle w:val="182"/>
                <w:b/>
                <w:color w:val="000000"/>
                <w:kern w:val="0"/>
                <w:szCs w:val="21"/>
              </w:rPr>
            </w:pPr>
            <w:r>
              <w:rPr>
                <w:rStyle w:val="182"/>
                <w:b/>
                <w:color w:val="000000"/>
                <w:kern w:val="0"/>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textAlignment w:val="baseline"/>
              <w:rPr>
                <w:rStyle w:val="182"/>
                <w:b/>
                <w:bCs/>
                <w:szCs w:val="21"/>
                <w:lang w:val="zh-CN"/>
              </w:rPr>
            </w:pPr>
            <w:r>
              <w:rPr>
                <w:rStyle w:val="182"/>
                <w:kern w:val="0"/>
                <w:szCs w:val="21"/>
              </w:rPr>
              <w:t>综合实力</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baseline"/>
              <w:rPr>
                <w:rStyle w:val="182"/>
                <w:b/>
                <w:color w:val="000000"/>
                <w:kern w:val="0"/>
                <w:szCs w:val="21"/>
              </w:rPr>
            </w:pPr>
            <w:r>
              <w:rPr>
                <w:rStyle w:val="182"/>
                <w:szCs w:val="21"/>
              </w:rPr>
              <w:t>6分</w:t>
            </w:r>
          </w:p>
        </w:tc>
        <w:tc>
          <w:tcPr>
            <w:tcW w:w="7229"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textAlignment w:val="baseline"/>
              <w:rPr>
                <w:rStyle w:val="182"/>
              </w:rPr>
            </w:pPr>
            <w:r>
              <w:rPr>
                <w:rStyle w:val="182"/>
                <w:kern w:val="0"/>
                <w:szCs w:val="21"/>
              </w:rPr>
              <w:t>投标供应商具有：ISO 9001（质量管理体系认证）、ISO 14001（环境管理体系认证）、ISO45001(职业健康安全管理体系认证）有一项证书得2分，最高得6分。</w:t>
            </w:r>
          </w:p>
          <w:p>
            <w:pPr>
              <w:widowControl/>
              <w:ind w:firstLine="420" w:firstLineChars="200"/>
              <w:jc w:val="left"/>
              <w:textAlignment w:val="baseline"/>
              <w:rPr>
                <w:rStyle w:val="182"/>
                <w:kern w:val="0"/>
                <w:szCs w:val="21"/>
              </w:rPr>
            </w:pPr>
            <w:r>
              <w:rPr>
                <w:rStyle w:val="182"/>
                <w:kern w:val="0"/>
                <w:szCs w:val="21"/>
              </w:rPr>
              <w:t>备注：供应商需提供相关证明材料复印件并加盖公章；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7" w:hRule="atLeast"/>
        </w:trPr>
        <w:tc>
          <w:tcPr>
            <w:tcW w:w="1418"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szCs w:val="21"/>
              </w:rPr>
            </w:pPr>
            <w:r>
              <w:rPr>
                <w:rStyle w:val="182"/>
                <w:kern w:val="0"/>
                <w:szCs w:val="21"/>
              </w:rPr>
              <w:t>参数响应及产品性能</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szCs w:val="21"/>
              </w:rPr>
            </w:pPr>
            <w:r>
              <w:rPr>
                <w:rStyle w:val="182"/>
                <w:szCs w:val="21"/>
              </w:rPr>
              <w:t>30分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rPr>
            </w:pPr>
            <w:r>
              <w:rPr>
                <w:rStyle w:val="182"/>
              </w:rPr>
              <w:t>投标产品完全响应采购需求中所列各项设备技术性能的，得满分30分；</w:t>
            </w:r>
          </w:p>
          <w:p>
            <w:pPr>
              <w:widowControl/>
              <w:ind w:firstLine="420" w:firstLineChars="200"/>
              <w:jc w:val="left"/>
              <w:textAlignment w:val="baseline"/>
              <w:rPr>
                <w:rStyle w:val="182"/>
              </w:rPr>
            </w:pPr>
            <w:r>
              <w:rPr>
                <w:rStyle w:val="182"/>
                <w:rFonts w:hint="eastAsia"/>
              </w:rPr>
              <w:t>标★项为实质性要求，不得负偏离，否则将视为无效响应。</w:t>
            </w:r>
          </w:p>
          <w:p>
            <w:pPr>
              <w:widowControl/>
              <w:ind w:firstLine="420" w:firstLineChars="200"/>
              <w:jc w:val="left"/>
              <w:textAlignment w:val="baseline"/>
              <w:rPr>
                <w:rStyle w:val="182"/>
              </w:rPr>
            </w:pPr>
            <w:r>
              <w:rPr>
                <w:rStyle w:val="182"/>
                <w:rFonts w:hint="eastAsia"/>
              </w:rPr>
              <w:t>标▲项为功能性指标，供应商响应或优于指标的，提供</w:t>
            </w:r>
            <w:r>
              <w:rPr>
                <w:rStyle w:val="182"/>
              </w:rPr>
              <w:t>相关证明材料进行佐证，</w:t>
            </w:r>
            <w:r>
              <w:rPr>
                <w:rStyle w:val="182"/>
                <w:rFonts w:hint="eastAsia"/>
              </w:rPr>
              <w:t>未提供证明材料或证明材料显示不满足要求的，每缺少一项扣3分，扣完为止。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color w:val="000000"/>
                <w:szCs w:val="21"/>
                <w:highlight w:val="yellow"/>
              </w:rPr>
            </w:pPr>
            <w:r>
              <w:rPr>
                <w:rStyle w:val="182"/>
                <w:kern w:val="0"/>
                <w:szCs w:val="21"/>
              </w:rPr>
              <w:t>软件著作权</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color w:val="000000"/>
                <w:szCs w:val="21"/>
              </w:rPr>
            </w:pPr>
            <w:r>
              <w:rPr>
                <w:rStyle w:val="182"/>
                <w:color w:val="000000"/>
                <w:szCs w:val="21"/>
              </w:rPr>
              <w:t>9分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kern w:val="0"/>
                <w:szCs w:val="21"/>
              </w:rPr>
            </w:pPr>
            <w:r>
              <w:rPr>
                <w:rStyle w:val="182"/>
                <w:kern w:val="0"/>
                <w:szCs w:val="21"/>
              </w:rPr>
              <w:t>投标</w:t>
            </w:r>
            <w:r>
              <w:rPr>
                <w:rStyle w:val="182"/>
                <w:color w:val="000000"/>
                <w:kern w:val="0"/>
                <w:szCs w:val="21"/>
              </w:rPr>
              <w:t>供应商具备“云端数据分析系统”、“在线监测系统”、“微信后台管理系统”等类似软件著作权</w:t>
            </w:r>
            <w:r>
              <w:rPr>
                <w:rStyle w:val="182"/>
                <w:color w:val="000000"/>
                <w:szCs w:val="21"/>
              </w:rPr>
              <w:t>以上</w:t>
            </w:r>
            <w:r>
              <w:rPr>
                <w:rStyle w:val="182"/>
                <w:color w:val="000000"/>
                <w:kern w:val="0"/>
                <w:szCs w:val="21"/>
              </w:rPr>
              <w:t>有一项得3分，最多9分（提供证书复印件加盖公章，原件备查）</w:t>
            </w:r>
          </w:p>
          <w:p>
            <w:pPr>
              <w:widowControl/>
              <w:ind w:firstLine="420" w:firstLineChars="200"/>
              <w:jc w:val="left"/>
              <w:textAlignment w:val="baseline"/>
              <w:rPr>
                <w:rStyle w:val="182"/>
                <w:kern w:val="0"/>
                <w:szCs w:val="21"/>
              </w:rPr>
            </w:pPr>
            <w:r>
              <w:rPr>
                <w:rStyle w:val="182"/>
                <w:kern w:val="0"/>
                <w:szCs w:val="21"/>
              </w:rPr>
              <w:t>（注：软件著作权证书的登记时间须在本次项目招标公告发布之前。）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3"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kern w:val="0"/>
                <w:szCs w:val="21"/>
              </w:rPr>
            </w:pPr>
            <w:r>
              <w:rPr>
                <w:rStyle w:val="182"/>
                <w:kern w:val="0"/>
                <w:szCs w:val="21"/>
              </w:rPr>
              <w:t>业绩</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color w:val="000000"/>
                <w:szCs w:val="21"/>
              </w:rPr>
            </w:pPr>
            <w:r>
              <w:rPr>
                <w:rStyle w:val="182"/>
                <w:color w:val="000000"/>
                <w:szCs w:val="21"/>
              </w:rPr>
              <w:t>5分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kern w:val="0"/>
                <w:szCs w:val="21"/>
              </w:rPr>
            </w:pPr>
            <w:r>
              <w:rPr>
                <w:rStyle w:val="182"/>
                <w:rFonts w:hint="eastAsia"/>
                <w:kern w:val="0"/>
                <w:szCs w:val="21"/>
              </w:rPr>
              <w:t>所投产品有</w:t>
            </w:r>
            <w:r>
              <w:rPr>
                <w:rStyle w:val="182"/>
                <w:kern w:val="0"/>
                <w:szCs w:val="21"/>
              </w:rPr>
              <w:t>使用案例的</w:t>
            </w:r>
            <w:r>
              <w:rPr>
                <w:rStyle w:val="182"/>
                <w:rFonts w:hint="eastAsia"/>
                <w:kern w:val="0"/>
                <w:szCs w:val="21"/>
              </w:rPr>
              <w:t>，有一个得1分，最多得5分。（提供相关合同等证明材料，否则不予认可）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color w:val="000000"/>
                <w:szCs w:val="21"/>
              </w:rPr>
            </w:pPr>
            <w:r>
              <w:rPr>
                <w:rStyle w:val="182"/>
                <w:kern w:val="0"/>
                <w:szCs w:val="21"/>
              </w:rPr>
              <w:t>服务要求及方案</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color w:val="000000"/>
                <w:szCs w:val="21"/>
              </w:rPr>
            </w:pPr>
            <w:r>
              <w:rPr>
                <w:rStyle w:val="182"/>
                <w:color w:val="000000"/>
                <w:szCs w:val="21"/>
              </w:rPr>
              <w:t>10分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jc w:val="left"/>
              <w:textAlignment w:val="baseline"/>
              <w:rPr>
                <w:rStyle w:val="182"/>
                <w:kern w:val="0"/>
                <w:szCs w:val="21"/>
              </w:rPr>
            </w:pPr>
            <w:r>
              <w:rPr>
                <w:rStyle w:val="182"/>
                <w:kern w:val="0"/>
                <w:szCs w:val="21"/>
              </w:rPr>
              <w:t>本项目中设备均提供质保，出现故障半个小时到场，一般故障4个小时内解决，重大故障24个小时内解决；投标供应商需针对本项目的售后服务要求提供服务承诺，基本满足的得3分；如能提供优于服务要求并提供相应服务方案的得5-10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baseline"/>
              <w:rPr>
                <w:rStyle w:val="182"/>
                <w:szCs w:val="21"/>
              </w:rPr>
            </w:pPr>
            <w:r>
              <w:rPr>
                <w:rStyle w:val="182"/>
                <w:szCs w:val="21"/>
              </w:rPr>
              <w:t>项目管理方案</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Style w:val="182"/>
                <w:szCs w:val="21"/>
              </w:rPr>
            </w:pPr>
            <w:r>
              <w:rPr>
                <w:rStyle w:val="182"/>
                <w:szCs w:val="21"/>
              </w:rPr>
              <w:t>10分</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snapToGrid w:val="0"/>
              <w:ind w:firstLine="420" w:firstLineChars="200"/>
              <w:jc w:val="left"/>
              <w:textAlignment w:val="baseline"/>
              <w:rPr>
                <w:rStyle w:val="182"/>
                <w:kern w:val="0"/>
                <w:szCs w:val="21"/>
              </w:rPr>
            </w:pPr>
            <w:r>
              <w:rPr>
                <w:rStyle w:val="182"/>
                <w:szCs w:val="21"/>
              </w:rPr>
              <w:t>根据投标供应商针对本项目制定的供货进度计划、质量安全体系、验收方案、相关技术服务内容横向比较，综合打分。优秀得8-10分；良好得4-7分；一般得1-3分。</w:t>
            </w:r>
          </w:p>
        </w:tc>
      </w:tr>
    </w:tbl>
    <w:p>
      <w:pPr>
        <w:snapToGrid w:val="0"/>
        <w:spacing w:line="360" w:lineRule="auto"/>
        <w:ind w:firstLine="482" w:firstLineChars="200"/>
        <w:jc w:val="left"/>
        <w:rPr>
          <w:b/>
          <w:bCs/>
          <w:sz w:val="24"/>
        </w:rPr>
      </w:pPr>
      <w:r>
        <w:rPr>
          <w:b/>
          <w:bCs/>
          <w:sz w:val="24"/>
        </w:rPr>
        <w:t>（二）价格标（满分30分）</w:t>
      </w:r>
    </w:p>
    <w:p>
      <w:pPr>
        <w:snapToGrid w:val="0"/>
        <w:spacing w:line="360" w:lineRule="auto"/>
        <w:ind w:firstLine="480" w:firstLineChars="200"/>
        <w:jc w:val="left"/>
        <w:rPr>
          <w:color w:val="000000"/>
          <w:sz w:val="24"/>
        </w:rPr>
      </w:pPr>
      <w:r>
        <w:rPr>
          <w:color w:val="000000"/>
          <w:sz w:val="24"/>
        </w:rPr>
        <w:t>综合评分法中的价格分统一采用低价优先法计算，即满足磋商文件要求且最后报价最低的供应商的价格为磋商基准价，其价格分为满分。其他供应商的价格分统一按照下列公式计算：</w:t>
      </w:r>
    </w:p>
    <w:p>
      <w:pPr>
        <w:snapToGrid w:val="0"/>
        <w:spacing w:line="360" w:lineRule="auto"/>
        <w:ind w:firstLine="480" w:firstLineChars="200"/>
        <w:jc w:val="left"/>
        <w:rPr>
          <w:color w:val="000000"/>
          <w:sz w:val="24"/>
        </w:rPr>
      </w:pPr>
      <w:r>
        <w:rPr>
          <w:color w:val="000000"/>
          <w:sz w:val="24"/>
        </w:rPr>
        <w:t>磋商报价得分=（磋商基准价/最后磋商报价）×30%×100</w:t>
      </w:r>
    </w:p>
    <w:p>
      <w:pPr>
        <w:snapToGrid w:val="0"/>
        <w:spacing w:line="360" w:lineRule="auto"/>
        <w:ind w:firstLine="480" w:firstLineChars="200"/>
        <w:jc w:val="left"/>
        <w:rPr>
          <w:color w:val="000000"/>
          <w:sz w:val="24"/>
        </w:rPr>
      </w:pPr>
      <w:r>
        <w:rPr>
          <w:color w:val="000000"/>
          <w:sz w:val="24"/>
        </w:rPr>
        <w:t>项目评审过程中，不得去掉最后报价中的最高报价和最低报价。</w:t>
      </w:r>
    </w:p>
    <w:p>
      <w:pPr>
        <w:snapToGrid w:val="0"/>
        <w:spacing w:line="360" w:lineRule="auto"/>
        <w:ind w:firstLine="482" w:firstLineChars="200"/>
        <w:jc w:val="left"/>
        <w:rPr>
          <w:b/>
          <w:bCs/>
          <w:sz w:val="24"/>
        </w:rPr>
      </w:pPr>
      <w:r>
        <w:rPr>
          <w:b/>
          <w:bCs/>
          <w:sz w:val="24"/>
        </w:rPr>
        <w:t>六、政府采购政策功能落实</w:t>
      </w:r>
    </w:p>
    <w:p>
      <w:pPr>
        <w:snapToGrid w:val="0"/>
        <w:spacing w:line="360" w:lineRule="auto"/>
        <w:ind w:firstLine="480" w:firstLineChars="200"/>
        <w:jc w:val="left"/>
        <w:rPr>
          <w:color w:val="000000"/>
          <w:sz w:val="24"/>
        </w:rPr>
      </w:pPr>
      <w:r>
        <w:rPr>
          <w:color w:val="000000"/>
          <w:sz w:val="24"/>
        </w:rPr>
        <w:t>1、小微型企业价格扣除</w:t>
      </w:r>
    </w:p>
    <w:p>
      <w:pPr>
        <w:snapToGrid w:val="0"/>
        <w:spacing w:line="360" w:lineRule="auto"/>
        <w:ind w:firstLine="480" w:firstLineChars="200"/>
        <w:jc w:val="left"/>
        <w:rPr>
          <w:color w:val="000000"/>
          <w:sz w:val="24"/>
        </w:rPr>
      </w:pPr>
      <w:r>
        <w:rPr>
          <w:color w:val="000000"/>
          <w:sz w:val="24"/>
        </w:rPr>
        <w:t>（1）本项目对小型和微型企业产品给予10%的扣除价格，用扣除后的价格参与评审。</w:t>
      </w:r>
    </w:p>
    <w:p>
      <w:pPr>
        <w:snapToGrid w:val="0"/>
        <w:spacing w:line="360" w:lineRule="auto"/>
        <w:ind w:firstLine="480" w:firstLineChars="200"/>
        <w:jc w:val="left"/>
        <w:rPr>
          <w:color w:val="000000"/>
          <w:sz w:val="24"/>
        </w:rPr>
      </w:pPr>
      <w:r>
        <w:rPr>
          <w:color w:val="000000"/>
          <w:sz w:val="24"/>
        </w:rPr>
        <w:t>（2）供应商需按照采购文件的要求提供相应的《中小企业声明函》，根据企业情况予以扣除价格。</w:t>
      </w:r>
    </w:p>
    <w:p>
      <w:pPr>
        <w:snapToGrid w:val="0"/>
        <w:spacing w:line="360" w:lineRule="auto"/>
        <w:ind w:firstLine="480" w:firstLineChars="200"/>
        <w:jc w:val="left"/>
        <w:rPr>
          <w:color w:val="000000"/>
          <w:sz w:val="24"/>
        </w:rPr>
      </w:pPr>
      <w:r>
        <w:rPr>
          <w:color w:val="000000"/>
          <w:sz w:val="24"/>
        </w:rPr>
        <w:t>（3）企业标准请参照《关于印发中小企业划型标准规定的通知》（工信部联企业[2011]300号）文件规定自行填写。</w:t>
      </w:r>
    </w:p>
    <w:p>
      <w:pPr>
        <w:snapToGrid w:val="0"/>
        <w:spacing w:line="360" w:lineRule="auto"/>
        <w:ind w:firstLine="480" w:firstLineChars="200"/>
        <w:jc w:val="left"/>
        <w:rPr>
          <w:color w:val="000000"/>
          <w:sz w:val="24"/>
        </w:rPr>
      </w:pPr>
      <w:r>
        <w:rPr>
          <w:color w:val="000000"/>
          <w:sz w:val="24"/>
        </w:rPr>
        <w:t>2、残疾人福利单位价格扣除</w:t>
      </w:r>
    </w:p>
    <w:p>
      <w:pPr>
        <w:snapToGrid w:val="0"/>
        <w:spacing w:line="360" w:lineRule="auto"/>
        <w:ind w:firstLine="480" w:firstLineChars="200"/>
        <w:jc w:val="left"/>
        <w:rPr>
          <w:color w:val="000000"/>
          <w:sz w:val="24"/>
        </w:rPr>
      </w:pPr>
      <w:r>
        <w:rPr>
          <w:color w:val="000000"/>
          <w:sz w:val="24"/>
        </w:rPr>
        <w:t>（1）本项目对残疾人福利性单位视同小型、微型企业，给予6%的价格扣除，用扣除后的价格参与评审。</w:t>
      </w:r>
    </w:p>
    <w:p>
      <w:pPr>
        <w:snapToGrid w:val="0"/>
        <w:spacing w:line="360" w:lineRule="auto"/>
        <w:ind w:firstLine="480" w:firstLineChars="200"/>
        <w:jc w:val="left"/>
        <w:rPr>
          <w:color w:val="000000"/>
          <w:sz w:val="24"/>
        </w:rPr>
      </w:pPr>
      <w:r>
        <w:rPr>
          <w:color w:val="000000"/>
          <w:sz w:val="24"/>
        </w:rPr>
        <w:t>（2）残疾人福利单位需按照采购文件的要求提供《残疾人福利性单位声明函》。</w:t>
      </w:r>
    </w:p>
    <w:p>
      <w:pPr>
        <w:snapToGrid w:val="0"/>
        <w:spacing w:line="360" w:lineRule="auto"/>
        <w:ind w:firstLine="480" w:firstLineChars="200"/>
        <w:jc w:val="left"/>
        <w:rPr>
          <w:color w:val="000000"/>
          <w:sz w:val="24"/>
        </w:rPr>
      </w:pPr>
      <w:r>
        <w:rPr>
          <w:color w:val="000000"/>
          <w:sz w:val="24"/>
        </w:rPr>
        <w:t>（3）残疾人福利单位标准请参照《关于促进残疾人就业政府采购政策的通知》（财库〔2017〕141号）。</w:t>
      </w:r>
    </w:p>
    <w:p>
      <w:pPr>
        <w:snapToGrid w:val="0"/>
        <w:spacing w:line="360" w:lineRule="auto"/>
        <w:ind w:firstLine="480" w:firstLineChars="200"/>
        <w:jc w:val="left"/>
        <w:rPr>
          <w:color w:val="000000"/>
          <w:sz w:val="24"/>
        </w:rPr>
      </w:pPr>
      <w:r>
        <w:rPr>
          <w:color w:val="000000"/>
          <w:sz w:val="24"/>
        </w:rPr>
        <w:t>3、监狱和戒毒企业价格扣除</w:t>
      </w:r>
    </w:p>
    <w:p>
      <w:pPr>
        <w:snapToGrid w:val="0"/>
        <w:spacing w:line="360" w:lineRule="auto"/>
        <w:ind w:firstLine="480" w:firstLineChars="200"/>
        <w:jc w:val="left"/>
        <w:rPr>
          <w:color w:val="000000"/>
          <w:sz w:val="24"/>
        </w:rPr>
      </w:pPr>
      <w:r>
        <w:rPr>
          <w:color w:val="000000"/>
          <w:sz w:val="24"/>
        </w:rPr>
        <w:t>（1）本项目对监狱和戒毒企业（简称监狱企业）视同小型、微型企业，给予6%的价格扣除，用扣除后的价格参与评审。</w:t>
      </w:r>
    </w:p>
    <w:p>
      <w:pPr>
        <w:snapToGrid w:val="0"/>
        <w:spacing w:line="360" w:lineRule="auto"/>
        <w:ind w:firstLine="480" w:firstLineChars="200"/>
        <w:jc w:val="left"/>
        <w:rPr>
          <w:color w:val="000000"/>
          <w:sz w:val="24"/>
        </w:rPr>
      </w:pPr>
      <w:r>
        <w:rPr>
          <w:color w:val="000000"/>
          <w:sz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jc w:val="left"/>
        <w:rPr>
          <w:color w:val="000000"/>
          <w:sz w:val="24"/>
        </w:rPr>
      </w:pPr>
      <w:r>
        <w:rPr>
          <w:color w:val="000000"/>
          <w:sz w:val="24"/>
        </w:rPr>
        <w:t>（3）监狱企业标准请参照《关于政府采购支持监狱企业发展有关问题的通知》（财库[2014]68号）。</w:t>
      </w:r>
    </w:p>
    <w:p>
      <w:pPr>
        <w:snapToGrid w:val="0"/>
        <w:spacing w:line="360" w:lineRule="auto"/>
        <w:ind w:firstLine="480" w:firstLineChars="200"/>
        <w:jc w:val="left"/>
        <w:rPr>
          <w:color w:val="000000"/>
          <w:sz w:val="24"/>
        </w:rPr>
      </w:pPr>
      <w:r>
        <w:rPr>
          <w:color w:val="000000"/>
          <w:sz w:val="24"/>
        </w:rPr>
        <w:t>4、残疾人福利单位、监狱企业属于小型、微型企业的，不重复享受政策。</w:t>
      </w:r>
    </w:p>
    <w:p>
      <w:pPr>
        <w:snapToGrid w:val="0"/>
        <w:spacing w:line="360" w:lineRule="auto"/>
        <w:ind w:firstLine="480" w:firstLineChars="200"/>
        <w:jc w:val="left"/>
        <w:rPr>
          <w:color w:val="000000"/>
          <w:sz w:val="24"/>
        </w:rPr>
      </w:pPr>
      <w:r>
        <w:rPr>
          <w:color w:val="000000"/>
          <w:sz w:val="24"/>
        </w:rPr>
        <w:t>5、根据《江苏省政府采购信用管理暂行办法》的规定，对有失信行为的供应商将根据信用评价结果按规定予以扣分或价格加成。</w:t>
      </w:r>
    </w:p>
    <w:p>
      <w:pPr>
        <w:snapToGrid w:val="0"/>
        <w:spacing w:line="360" w:lineRule="auto"/>
        <w:ind w:firstLine="482" w:firstLineChars="200"/>
        <w:jc w:val="left"/>
        <w:rPr>
          <w:b/>
          <w:bCs/>
          <w:color w:val="000000"/>
          <w:sz w:val="24"/>
        </w:rPr>
      </w:pPr>
      <w:r>
        <w:rPr>
          <w:b/>
          <w:bCs/>
          <w:sz w:val="24"/>
        </w:rPr>
        <w:t>七、</w:t>
      </w:r>
      <w:r>
        <w:rPr>
          <w:b/>
          <w:bCs/>
          <w:color w:val="000000"/>
          <w:sz w:val="24"/>
        </w:rPr>
        <w:t>出现下列情形之一的，竞争性磋商采购活动终止，发布项目终止公告并说明原因，重新开展采购活动：</w:t>
      </w:r>
    </w:p>
    <w:p>
      <w:pPr>
        <w:snapToGrid w:val="0"/>
        <w:spacing w:line="360" w:lineRule="auto"/>
        <w:ind w:firstLine="480" w:firstLineChars="200"/>
        <w:jc w:val="left"/>
        <w:rPr>
          <w:color w:val="000000"/>
          <w:sz w:val="24"/>
        </w:rPr>
      </w:pPr>
      <w:r>
        <w:rPr>
          <w:color w:val="000000"/>
          <w:sz w:val="24"/>
        </w:rPr>
        <w:t>(一)因情况变化，不再符合规定的竞争性磋商采购方式适用情形的；</w:t>
      </w:r>
    </w:p>
    <w:p>
      <w:pPr>
        <w:snapToGrid w:val="0"/>
        <w:spacing w:line="360" w:lineRule="auto"/>
        <w:ind w:firstLine="480" w:firstLineChars="200"/>
        <w:jc w:val="left"/>
        <w:rPr>
          <w:color w:val="000000"/>
          <w:sz w:val="24"/>
        </w:rPr>
      </w:pPr>
      <w:r>
        <w:rPr>
          <w:color w:val="000000"/>
          <w:sz w:val="24"/>
        </w:rPr>
        <w:t>(二)出现影响采购公正的违法、违规行为的；</w:t>
      </w:r>
    </w:p>
    <w:p>
      <w:pPr>
        <w:snapToGrid w:val="0"/>
        <w:spacing w:line="360" w:lineRule="auto"/>
        <w:ind w:firstLine="480" w:firstLineChars="200"/>
        <w:jc w:val="left"/>
        <w:rPr>
          <w:color w:val="000000"/>
          <w:sz w:val="24"/>
        </w:rPr>
      </w:pPr>
      <w:r>
        <w:rPr>
          <w:color w:val="000000"/>
          <w:sz w:val="24"/>
        </w:rPr>
        <w:t>(三)在采购过程中符合要求的供应商不足3家的。</w:t>
      </w:r>
    </w:p>
    <w:p>
      <w:pPr>
        <w:snapToGrid w:val="0"/>
        <w:spacing w:line="360" w:lineRule="auto"/>
        <w:ind w:firstLine="482" w:firstLineChars="200"/>
        <w:jc w:val="left"/>
        <w:rPr>
          <w:b/>
          <w:bCs/>
          <w:color w:val="000000"/>
          <w:sz w:val="24"/>
        </w:rPr>
      </w:pPr>
      <w:r>
        <w:rPr>
          <w:b/>
          <w:bCs/>
          <w:color w:val="000000"/>
          <w:sz w:val="24"/>
        </w:rPr>
        <w:t>八、成交通知</w:t>
      </w:r>
    </w:p>
    <w:p>
      <w:pPr>
        <w:snapToGrid w:val="0"/>
        <w:spacing w:line="360" w:lineRule="auto"/>
        <w:ind w:firstLine="480" w:firstLineChars="200"/>
        <w:jc w:val="left"/>
        <w:rPr>
          <w:color w:val="000000"/>
          <w:sz w:val="24"/>
        </w:rPr>
      </w:pPr>
      <w:r>
        <w:rPr>
          <w:color w:val="000000"/>
          <w:sz w:val="24"/>
        </w:rPr>
        <w:t>成交结果在南通市生态环境局官网公告期限为1个工作日。《成交通知书》一经发出，采购人改变成交结果，或者成交供应商放弃成交的，各自承担相应的法律责任。《成交通知书》是采购合同的组成部分。</w:t>
      </w:r>
    </w:p>
    <w:p>
      <w:pPr>
        <w:snapToGrid w:val="0"/>
        <w:spacing w:line="300" w:lineRule="auto"/>
        <w:ind w:firstLine="723" w:firstLineChars="200"/>
        <w:jc w:val="center"/>
        <w:rPr>
          <w:b/>
          <w:bCs/>
          <w:color w:val="000000"/>
          <w:sz w:val="36"/>
          <w:szCs w:val="36"/>
        </w:rPr>
      </w:pPr>
      <w:r>
        <w:rPr>
          <w:b/>
          <w:bCs/>
          <w:color w:val="000000"/>
          <w:sz w:val="36"/>
          <w:szCs w:val="36"/>
        </w:rPr>
        <w:br w:type="page"/>
      </w:r>
      <w:r>
        <w:rPr>
          <w:b/>
          <w:bCs/>
          <w:color w:val="000000"/>
          <w:sz w:val="36"/>
          <w:szCs w:val="36"/>
        </w:rPr>
        <w:t>第五部分  合同及履约保证</w:t>
      </w:r>
    </w:p>
    <w:p>
      <w:pPr>
        <w:snapToGrid w:val="0"/>
        <w:spacing w:line="360" w:lineRule="auto"/>
        <w:ind w:firstLine="480" w:firstLineChars="200"/>
        <w:jc w:val="left"/>
        <w:rPr>
          <w:color w:val="000000"/>
          <w:sz w:val="24"/>
        </w:rPr>
      </w:pPr>
      <w:r>
        <w:rPr>
          <w:color w:val="000000"/>
          <w:sz w:val="24"/>
        </w:rPr>
        <w:t>一、成交供应商和采购单位在接到《成交通知书》后十五日内签订合同。合同签订后成交供应商方可履约，否则引起的一切后果由成交人自行承担。纸质合同一式肆份，采购人、供应商各贰份。所签合同不得对采购文件作实质性修改。采购单位不得向成交供应商提出不合理的要求作为签订合同的条件，不得与成交供应商私下订立背离采购文件实质性内容的协议。</w:t>
      </w:r>
    </w:p>
    <w:p>
      <w:pPr>
        <w:snapToGrid w:val="0"/>
        <w:spacing w:line="360" w:lineRule="auto"/>
        <w:ind w:firstLine="480" w:firstLineChars="200"/>
        <w:jc w:val="left"/>
        <w:rPr>
          <w:color w:val="000000"/>
          <w:sz w:val="24"/>
        </w:rPr>
      </w:pPr>
      <w:r>
        <w:rPr>
          <w:color w:val="000000"/>
          <w:sz w:val="24"/>
        </w:rPr>
        <w:t>二、采购人按合同约定积极配合成交供应商履约，成交供应商履约到位后，请以书面形式向采购单位提出验收申请，采购人接到申请后原则上在15个工作日内及时组织相关专业技术人员共同参与验收，并出具验收报告，验收合格的原则上15个工作日内支付相应款项。</w:t>
      </w:r>
    </w:p>
    <w:p>
      <w:pPr>
        <w:snapToGrid w:val="0"/>
        <w:spacing w:line="360" w:lineRule="auto"/>
        <w:ind w:firstLine="480" w:firstLineChars="200"/>
        <w:jc w:val="left"/>
        <w:rPr>
          <w:color w:val="000000"/>
          <w:sz w:val="24"/>
        </w:rPr>
      </w:pPr>
      <w:r>
        <w:rPr>
          <w:color w:val="000000"/>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360" w:lineRule="auto"/>
        <w:ind w:firstLine="480" w:firstLineChars="200"/>
        <w:jc w:val="left"/>
        <w:rPr>
          <w:color w:val="000000"/>
          <w:sz w:val="24"/>
        </w:rPr>
      </w:pPr>
      <w:r>
        <w:rPr>
          <w:color w:val="000000"/>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snapToGrid w:val="0"/>
        <w:spacing w:line="360" w:lineRule="auto"/>
        <w:ind w:firstLine="482" w:firstLineChars="200"/>
        <w:jc w:val="left"/>
        <w:rPr>
          <w:b/>
          <w:color w:val="000000"/>
          <w:sz w:val="24"/>
        </w:rPr>
      </w:pPr>
      <w:r>
        <w:rPr>
          <w:b/>
          <w:color w:val="000000"/>
          <w:sz w:val="24"/>
        </w:rPr>
        <w:t>五、不响应付款方式的，视同响应文件无效处理。</w:t>
      </w:r>
    </w:p>
    <w:p>
      <w:pPr>
        <w:snapToGrid w:val="0"/>
        <w:spacing w:line="360" w:lineRule="auto"/>
        <w:ind w:firstLine="480" w:firstLineChars="200"/>
        <w:jc w:val="left"/>
        <w:rPr>
          <w:color w:val="000000"/>
          <w:sz w:val="24"/>
        </w:rPr>
      </w:pPr>
      <w:r>
        <w:rPr>
          <w:color w:val="000000"/>
          <w:sz w:val="24"/>
        </w:rPr>
        <w:t>款项由采购人按相关财务支付规定办理支付手续。不得故意拖延支付时间。</w:t>
      </w:r>
    </w:p>
    <w:p>
      <w:pPr>
        <w:snapToGrid w:val="0"/>
        <w:spacing w:line="360" w:lineRule="auto"/>
        <w:ind w:firstLine="480" w:firstLineChars="200"/>
        <w:jc w:val="left"/>
        <w:rPr>
          <w:sz w:val="24"/>
        </w:rPr>
      </w:pPr>
      <w:r>
        <w:rPr>
          <w:color w:val="000000"/>
          <w:sz w:val="24"/>
        </w:rPr>
        <w:t>每次付款前，成交供应商须</w:t>
      </w:r>
      <w:r>
        <w:rPr>
          <w:sz w:val="24"/>
        </w:rPr>
        <w:t>根据结算金额按国家有关财税规定开出合法发票交采购方办理付款手续。</w:t>
      </w:r>
    </w:p>
    <w:p>
      <w:pPr>
        <w:pStyle w:val="32"/>
        <w:snapToGrid w:val="0"/>
        <w:spacing w:line="360" w:lineRule="auto"/>
        <w:jc w:val="center"/>
        <w:rPr>
          <w:rFonts w:ascii="Times New Roman" w:hAnsi="Times New Roman" w:cs="Times New Roman"/>
          <w:sz w:val="28"/>
          <w:szCs w:val="28"/>
        </w:rPr>
      </w:pPr>
      <w:r>
        <w:rPr>
          <w:rFonts w:ascii="Times New Roman" w:hAnsi="Times New Roman" w:cs="Times New Roman"/>
          <w:color w:val="000000"/>
        </w:rPr>
        <w:br w:type="page"/>
      </w:r>
      <w:r>
        <w:rPr>
          <w:rFonts w:ascii="Times New Roman" w:hAnsi="Times New Roman" w:cs="Times New Roman"/>
          <w:sz w:val="28"/>
          <w:szCs w:val="28"/>
        </w:rPr>
        <w:t>南通市生态环境综合行政执法局便携式高分辨率VOCs气体检测仪及无人机采购合同</w:t>
      </w:r>
    </w:p>
    <w:p>
      <w:pPr>
        <w:pStyle w:val="32"/>
        <w:snapToGrid w:val="0"/>
        <w:spacing w:before="0" w:beforeAutospacing="0" w:after="0" w:afterAutospacing="0" w:line="360" w:lineRule="auto"/>
        <w:rPr>
          <w:rFonts w:ascii="Times New Roman" w:hAnsi="Times New Roman" w:cs="Times New Roman"/>
          <w:color w:val="000000"/>
        </w:rPr>
      </w:pPr>
      <w:r>
        <w:rPr>
          <w:rFonts w:ascii="Times New Roman" w:hAnsi="Times New Roman" w:cs="Times New Roman"/>
          <w:color w:val="000000"/>
        </w:rPr>
        <w:t>采购人（或称甲方）：</w:t>
      </w:r>
      <w:r>
        <w:rPr>
          <w:rFonts w:ascii="Times New Roman" w:hAnsi="Times New Roman" w:cs="Times New Roman"/>
          <w:color w:val="000000"/>
          <w:u w:val="single"/>
        </w:rPr>
        <w:t xml:space="preserve">                        </w:t>
      </w:r>
    </w:p>
    <w:p>
      <w:pPr>
        <w:snapToGrid w:val="0"/>
        <w:spacing w:line="360" w:lineRule="auto"/>
        <w:contextualSpacing/>
        <w:jc w:val="left"/>
        <w:rPr>
          <w:color w:val="000000"/>
          <w:sz w:val="24"/>
          <w:u w:val="single"/>
        </w:rPr>
      </w:pPr>
      <w:r>
        <w:rPr>
          <w:color w:val="000000"/>
          <w:sz w:val="24"/>
        </w:rPr>
        <w:t>供应商（或称乙方）：</w:t>
      </w:r>
      <w:r>
        <w:rPr>
          <w:color w:val="000000"/>
          <w:sz w:val="24"/>
          <w:u w:val="single"/>
        </w:rPr>
        <w:t xml:space="preserve">                        </w:t>
      </w:r>
    </w:p>
    <w:p>
      <w:pPr>
        <w:snapToGrid w:val="0"/>
        <w:spacing w:line="360" w:lineRule="auto"/>
        <w:contextualSpacing/>
        <w:jc w:val="left"/>
        <w:rPr>
          <w:color w:val="000000"/>
          <w:sz w:val="24"/>
          <w:u w:val="single"/>
        </w:rPr>
      </w:pPr>
      <w:r>
        <w:rPr>
          <w:color w:val="000000"/>
          <w:sz w:val="24"/>
        </w:rPr>
        <w:t>签订地点：</w:t>
      </w:r>
      <w:r>
        <w:rPr>
          <w:color w:val="000000"/>
          <w:sz w:val="24"/>
          <w:u w:val="single"/>
        </w:rPr>
        <w:t xml:space="preserve">      南通市       </w:t>
      </w:r>
    </w:p>
    <w:p>
      <w:pPr>
        <w:snapToGrid w:val="0"/>
        <w:spacing w:line="360" w:lineRule="auto"/>
        <w:contextualSpacing/>
        <w:jc w:val="left"/>
        <w:rPr>
          <w:color w:val="000000"/>
          <w:sz w:val="24"/>
          <w:u w:val="single"/>
        </w:rPr>
      </w:pPr>
      <w:r>
        <w:rPr>
          <w:color w:val="000000"/>
          <w:sz w:val="24"/>
        </w:rPr>
        <w:t>合同编号：</w:t>
      </w:r>
      <w:r>
        <w:rPr>
          <w:color w:val="000000"/>
          <w:sz w:val="24"/>
          <w:u w:val="single"/>
        </w:rPr>
        <w:t xml:space="preserve">                </w:t>
      </w:r>
    </w:p>
    <w:p>
      <w:pPr>
        <w:snapToGrid w:val="0"/>
        <w:spacing w:line="360" w:lineRule="auto"/>
        <w:contextualSpacing/>
        <w:jc w:val="left"/>
        <w:rPr>
          <w:color w:val="000000"/>
          <w:sz w:val="24"/>
        </w:rPr>
      </w:pPr>
    </w:p>
    <w:p>
      <w:pPr>
        <w:snapToGrid w:val="0"/>
        <w:spacing w:line="360" w:lineRule="auto"/>
        <w:ind w:firstLine="480" w:firstLineChars="200"/>
        <w:rPr>
          <w:b/>
          <w:bCs/>
          <w:sz w:val="24"/>
        </w:rPr>
      </w:pPr>
      <w:r>
        <w:rPr>
          <w:sz w:val="24"/>
        </w:rPr>
        <w:t>根据《政府采购法</w:t>
      </w:r>
      <w:r>
        <w:rPr>
          <w:color w:val="000000"/>
          <w:sz w:val="24"/>
        </w:rPr>
        <w:t>》、《民法典》及</w:t>
      </w:r>
      <w:r>
        <w:rPr>
          <w:sz w:val="24"/>
          <w:u w:val="single"/>
        </w:rPr>
        <w:t>南通市生态环境综合行政执法局便携式高分辨率VOCs气体检测仪及无人机采购项目</w:t>
      </w:r>
      <w:r>
        <w:rPr>
          <w:color w:val="000000"/>
          <w:sz w:val="24"/>
        </w:rPr>
        <w:t xml:space="preserve"> (项目编号：JSADTZC2021101G)的竞争性</w:t>
      </w:r>
      <w:r>
        <w:rPr>
          <w:sz w:val="24"/>
        </w:rPr>
        <w:t>磋商采购结果、竞争性磋商文件及竞争性磋商响应文件，经双方协商一致，签订本合同。</w:t>
      </w:r>
    </w:p>
    <w:p>
      <w:pPr>
        <w:snapToGrid w:val="0"/>
        <w:spacing w:line="360" w:lineRule="auto"/>
        <w:ind w:firstLine="482" w:firstLineChars="200"/>
        <w:rPr>
          <w:b/>
          <w:sz w:val="24"/>
        </w:rPr>
      </w:pPr>
      <w:r>
        <w:rPr>
          <w:b/>
          <w:sz w:val="24"/>
        </w:rPr>
        <w:t>一、采购内容</w:t>
      </w:r>
    </w:p>
    <w:p>
      <w:pPr>
        <w:snapToGrid w:val="0"/>
        <w:spacing w:line="360" w:lineRule="auto"/>
        <w:ind w:firstLine="480" w:firstLineChars="200"/>
        <w:rPr>
          <w:sz w:val="24"/>
        </w:rPr>
      </w:pPr>
      <w:r>
        <w:rPr>
          <w:color w:val="000000"/>
          <w:sz w:val="24"/>
        </w:rPr>
        <w:t>1、</w:t>
      </w:r>
      <w:r>
        <w:rPr>
          <w:sz w:val="24"/>
        </w:rPr>
        <w:t>乙方向甲方提供以下货物以及包装、运输、装卸、检验、安装调试、技术服务、质保期服务等相关服务。</w:t>
      </w:r>
    </w:p>
    <w:tbl>
      <w:tblPr>
        <w:tblStyle w:val="37"/>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218"/>
        <w:gridCol w:w="1022"/>
        <w:gridCol w:w="90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r>
              <w:rPr>
                <w:sz w:val="24"/>
              </w:rPr>
              <w:t>产品名称</w:t>
            </w:r>
          </w:p>
        </w:tc>
        <w:tc>
          <w:tcPr>
            <w:tcW w:w="2218" w:type="dxa"/>
            <w:vAlign w:val="center"/>
          </w:tcPr>
          <w:p>
            <w:pPr>
              <w:snapToGrid w:val="0"/>
              <w:jc w:val="left"/>
              <w:rPr>
                <w:sz w:val="24"/>
              </w:rPr>
            </w:pPr>
            <w:r>
              <w:rPr>
                <w:sz w:val="24"/>
              </w:rPr>
              <w:t>品牌</w:t>
            </w:r>
          </w:p>
        </w:tc>
        <w:tc>
          <w:tcPr>
            <w:tcW w:w="1022" w:type="dxa"/>
            <w:vAlign w:val="center"/>
          </w:tcPr>
          <w:p>
            <w:pPr>
              <w:snapToGrid w:val="0"/>
              <w:jc w:val="left"/>
              <w:rPr>
                <w:sz w:val="24"/>
              </w:rPr>
            </w:pPr>
            <w:r>
              <w:rPr>
                <w:sz w:val="24"/>
              </w:rPr>
              <w:t>数量</w:t>
            </w:r>
          </w:p>
        </w:tc>
        <w:tc>
          <w:tcPr>
            <w:tcW w:w="900" w:type="dxa"/>
            <w:vAlign w:val="center"/>
          </w:tcPr>
          <w:p>
            <w:pPr>
              <w:snapToGrid w:val="0"/>
              <w:jc w:val="left"/>
              <w:rPr>
                <w:sz w:val="24"/>
              </w:rPr>
            </w:pPr>
            <w:r>
              <w:rPr>
                <w:sz w:val="24"/>
              </w:rPr>
              <w:t>单价</w:t>
            </w:r>
          </w:p>
        </w:tc>
        <w:tc>
          <w:tcPr>
            <w:tcW w:w="1080" w:type="dxa"/>
            <w:vAlign w:val="center"/>
          </w:tcPr>
          <w:p>
            <w:pPr>
              <w:snapToGrid w:val="0"/>
              <w:jc w:val="left"/>
              <w:rPr>
                <w:sz w:val="24"/>
              </w:rPr>
            </w:pPr>
            <w:r>
              <w:rPr>
                <w:sz w:val="24"/>
              </w:rPr>
              <w:t>合价</w:t>
            </w:r>
          </w:p>
        </w:tc>
        <w:tc>
          <w:tcPr>
            <w:tcW w:w="1620" w:type="dxa"/>
            <w:vAlign w:val="center"/>
          </w:tcPr>
          <w:p>
            <w:pPr>
              <w:snapToGrid w:val="0"/>
              <w:jc w:val="left"/>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320" w:type="dxa"/>
            <w:vAlign w:val="center"/>
          </w:tcPr>
          <w:p>
            <w:pPr>
              <w:snapToGrid w:val="0"/>
              <w:jc w:val="left"/>
              <w:rPr>
                <w:sz w:val="24"/>
              </w:rPr>
            </w:pPr>
          </w:p>
        </w:tc>
        <w:tc>
          <w:tcPr>
            <w:tcW w:w="2218" w:type="dxa"/>
            <w:vAlign w:val="center"/>
          </w:tcPr>
          <w:p>
            <w:pPr>
              <w:snapToGrid w:val="0"/>
              <w:jc w:val="left"/>
              <w:rPr>
                <w:sz w:val="24"/>
              </w:rPr>
            </w:pPr>
          </w:p>
        </w:tc>
        <w:tc>
          <w:tcPr>
            <w:tcW w:w="1022" w:type="dxa"/>
            <w:vAlign w:val="center"/>
          </w:tcPr>
          <w:p>
            <w:pPr>
              <w:snapToGrid w:val="0"/>
              <w:jc w:val="left"/>
              <w:rPr>
                <w:sz w:val="24"/>
              </w:rPr>
            </w:pPr>
          </w:p>
        </w:tc>
        <w:tc>
          <w:tcPr>
            <w:tcW w:w="900" w:type="dxa"/>
            <w:vAlign w:val="center"/>
          </w:tcPr>
          <w:p>
            <w:pPr>
              <w:snapToGrid w:val="0"/>
              <w:jc w:val="left"/>
              <w:rPr>
                <w:sz w:val="24"/>
              </w:rPr>
            </w:pPr>
          </w:p>
        </w:tc>
        <w:tc>
          <w:tcPr>
            <w:tcW w:w="1080" w:type="dxa"/>
            <w:vAlign w:val="center"/>
          </w:tcPr>
          <w:p>
            <w:pPr>
              <w:snapToGrid w:val="0"/>
              <w:jc w:val="left"/>
              <w:rPr>
                <w:sz w:val="24"/>
              </w:rPr>
            </w:pPr>
          </w:p>
        </w:tc>
        <w:tc>
          <w:tcPr>
            <w:tcW w:w="1620" w:type="dxa"/>
            <w:vAlign w:val="center"/>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jc w:val="center"/>
        </w:trPr>
        <w:tc>
          <w:tcPr>
            <w:tcW w:w="9160" w:type="dxa"/>
            <w:gridSpan w:val="6"/>
            <w:vAlign w:val="center"/>
          </w:tcPr>
          <w:p>
            <w:pPr>
              <w:snapToGrid w:val="0"/>
              <w:jc w:val="left"/>
              <w:rPr>
                <w:sz w:val="24"/>
                <w:u w:val="single"/>
              </w:rPr>
            </w:pPr>
            <w:r>
              <w:rPr>
                <w:sz w:val="24"/>
              </w:rPr>
              <w:t>总价（人民币）：</w:t>
            </w:r>
            <w:r>
              <w:rPr>
                <w:sz w:val="24"/>
                <w:u w:val="single"/>
              </w:rPr>
              <w:t xml:space="preserve">            </w:t>
            </w:r>
            <w:r>
              <w:rPr>
                <w:sz w:val="24"/>
              </w:rPr>
              <w:t>元</w:t>
            </w:r>
          </w:p>
          <w:p>
            <w:pPr>
              <w:snapToGrid w:val="0"/>
              <w:ind w:firstLine="480" w:firstLineChars="200"/>
              <w:jc w:val="left"/>
              <w:rPr>
                <w:sz w:val="24"/>
                <w:u w:val="single"/>
              </w:rPr>
            </w:pPr>
            <w:r>
              <w:rPr>
                <w:sz w:val="24"/>
              </w:rPr>
              <w:t>（大写）</w:t>
            </w:r>
            <w:r>
              <w:rPr>
                <w:sz w:val="24"/>
                <w:u w:val="single"/>
              </w:rPr>
              <w:t xml:space="preserve">                     </w:t>
            </w:r>
          </w:p>
        </w:tc>
      </w:tr>
    </w:tbl>
    <w:p>
      <w:pPr>
        <w:tabs>
          <w:tab w:val="left" w:pos="360"/>
        </w:tabs>
        <w:spacing w:line="360" w:lineRule="auto"/>
        <w:ind w:firstLine="480" w:firstLineChars="200"/>
        <w:jc w:val="left"/>
        <w:rPr>
          <w:sz w:val="24"/>
        </w:rPr>
      </w:pPr>
      <w:r>
        <w:rPr>
          <w:sz w:val="24"/>
        </w:rPr>
        <w:t>2、乙方按其投标响应文件提供的货物及服务必须满足采购文件的各项要求。</w:t>
      </w:r>
    </w:p>
    <w:p>
      <w:pPr>
        <w:tabs>
          <w:tab w:val="left" w:pos="360"/>
        </w:tabs>
        <w:spacing w:line="360" w:lineRule="auto"/>
        <w:ind w:firstLine="480" w:firstLineChars="200"/>
        <w:jc w:val="left"/>
        <w:rPr>
          <w:sz w:val="24"/>
        </w:rPr>
      </w:pPr>
      <w:r>
        <w:rPr>
          <w:sz w:val="24"/>
        </w:rPr>
        <w:t>3、乙方提供的包装、运输、装卸、检验、安装调试、技术服务、质保期等服务不得低于采购文件的要求及投标响应文件承诺的标准。</w:t>
      </w:r>
    </w:p>
    <w:p>
      <w:pPr>
        <w:tabs>
          <w:tab w:val="left" w:pos="360"/>
        </w:tabs>
        <w:spacing w:line="360" w:lineRule="auto"/>
        <w:ind w:firstLine="480" w:firstLineChars="200"/>
        <w:jc w:val="left"/>
        <w:rPr>
          <w:sz w:val="24"/>
        </w:rPr>
      </w:pPr>
      <w:r>
        <w:rPr>
          <w:sz w:val="24"/>
        </w:rPr>
        <w:t>4、本项目自验收结束之日起质保期内所有的维修或更换均免费，质保期外，甲方只提供维修人员的人工费、差旅费及更换配件的费用。</w:t>
      </w:r>
    </w:p>
    <w:p>
      <w:pPr>
        <w:snapToGrid w:val="0"/>
        <w:spacing w:line="360" w:lineRule="auto"/>
        <w:ind w:firstLine="480" w:firstLineChars="200"/>
        <w:rPr>
          <w:b/>
          <w:color w:val="000000"/>
          <w:sz w:val="24"/>
        </w:rPr>
      </w:pPr>
      <w:r>
        <w:rPr>
          <w:color w:val="000000"/>
          <w:sz w:val="24"/>
        </w:rPr>
        <w:t>二、</w:t>
      </w:r>
      <w:r>
        <w:rPr>
          <w:b/>
          <w:color w:val="000000"/>
          <w:sz w:val="24"/>
        </w:rPr>
        <w:t>合同金额</w:t>
      </w:r>
    </w:p>
    <w:p>
      <w:pPr>
        <w:snapToGrid w:val="0"/>
        <w:spacing w:line="360" w:lineRule="auto"/>
        <w:ind w:firstLine="480" w:firstLineChars="200"/>
        <w:rPr>
          <w:color w:val="000000"/>
          <w:sz w:val="24"/>
        </w:rPr>
      </w:pPr>
      <w:r>
        <w:rPr>
          <w:color w:val="000000"/>
          <w:sz w:val="24"/>
        </w:rPr>
        <w:t>1、总计人民币</w:t>
      </w:r>
      <w:r>
        <w:rPr>
          <w:color w:val="000000"/>
          <w:sz w:val="24"/>
          <w:u w:val="single"/>
        </w:rPr>
        <w:t xml:space="preserve">              </w:t>
      </w:r>
      <w:r>
        <w:rPr>
          <w:color w:val="000000"/>
          <w:sz w:val="24"/>
        </w:rPr>
        <w:t>元整（￥</w:t>
      </w:r>
      <w:r>
        <w:rPr>
          <w:color w:val="000000"/>
          <w:sz w:val="24"/>
          <w:u w:val="single"/>
        </w:rPr>
        <w:t xml:space="preserve">            元 </w:t>
      </w:r>
      <w:r>
        <w:rPr>
          <w:color w:val="000000"/>
          <w:sz w:val="24"/>
        </w:rPr>
        <w:t>）。</w:t>
      </w:r>
    </w:p>
    <w:p>
      <w:pPr>
        <w:snapToGrid w:val="0"/>
        <w:spacing w:line="360" w:lineRule="auto"/>
        <w:ind w:firstLine="480" w:firstLineChars="200"/>
        <w:rPr>
          <w:color w:val="000000"/>
          <w:sz w:val="24"/>
        </w:rPr>
      </w:pPr>
      <w:r>
        <w:rPr>
          <w:sz w:val="24"/>
        </w:rPr>
        <w:t>2、合同价格为：指定地点交货价，</w:t>
      </w:r>
      <w:r>
        <w:rPr>
          <w:color w:val="000000"/>
          <w:sz w:val="24"/>
        </w:rPr>
        <w:t>包括了所有设备、配套设施、各类辅助材料、包装、仓储、运输、保险、安装、调试、集成、保修期内备品备件、专用工具、伴随服务、人员培训，以及验收合格之前发生的所有含税费用。</w:t>
      </w:r>
      <w:r>
        <w:rPr>
          <w:sz w:val="24"/>
        </w:rPr>
        <w:t>在本合同履行期间，该价格不受市场任何因素影响。</w:t>
      </w:r>
    </w:p>
    <w:p>
      <w:pPr>
        <w:spacing w:line="360" w:lineRule="auto"/>
        <w:ind w:firstLine="482" w:firstLineChars="200"/>
        <w:jc w:val="left"/>
        <w:rPr>
          <w:b/>
          <w:bCs/>
          <w:sz w:val="24"/>
        </w:rPr>
      </w:pPr>
      <w:r>
        <w:rPr>
          <w:b/>
          <w:sz w:val="24"/>
        </w:rPr>
        <w:t>三、</w:t>
      </w:r>
      <w:r>
        <w:rPr>
          <w:b/>
          <w:bCs/>
          <w:sz w:val="24"/>
        </w:rPr>
        <w:t>货物质量要求及乙方对质量负责条件和期限：</w:t>
      </w:r>
    </w:p>
    <w:p>
      <w:pPr>
        <w:tabs>
          <w:tab w:val="left" w:pos="360"/>
        </w:tabs>
        <w:spacing w:line="360" w:lineRule="auto"/>
        <w:ind w:firstLine="480" w:firstLineChars="200"/>
        <w:jc w:val="left"/>
        <w:rPr>
          <w:sz w:val="24"/>
        </w:rPr>
      </w:pPr>
      <w:r>
        <w:rPr>
          <w:sz w:val="24"/>
        </w:rPr>
        <w:t>1、乙方提供的货品必须达到或优于采购文件项目需求中各项指标参数。</w:t>
      </w:r>
    </w:p>
    <w:p>
      <w:pPr>
        <w:tabs>
          <w:tab w:val="left" w:pos="360"/>
        </w:tabs>
        <w:spacing w:line="360" w:lineRule="auto"/>
        <w:ind w:firstLine="480" w:firstLineChars="200"/>
        <w:jc w:val="left"/>
        <w:rPr>
          <w:sz w:val="24"/>
        </w:rPr>
      </w:pPr>
      <w:r>
        <w:rPr>
          <w:sz w:val="24"/>
        </w:rPr>
        <w:t>2、乙方投标时提供的产品样品：无</w:t>
      </w:r>
    </w:p>
    <w:p>
      <w:pPr>
        <w:tabs>
          <w:tab w:val="left" w:pos="360"/>
        </w:tabs>
        <w:spacing w:line="360" w:lineRule="auto"/>
        <w:ind w:firstLine="480" w:firstLineChars="200"/>
        <w:jc w:val="left"/>
        <w:rPr>
          <w:sz w:val="24"/>
        </w:rPr>
      </w:pPr>
      <w:r>
        <w:rPr>
          <w:sz w:val="24"/>
        </w:rPr>
        <w:t>3、乙方提供的货物必须符合中华人民共和国国家及行业有关标准。</w:t>
      </w:r>
    </w:p>
    <w:p>
      <w:pPr>
        <w:tabs>
          <w:tab w:val="left" w:pos="360"/>
        </w:tabs>
        <w:spacing w:line="360" w:lineRule="auto"/>
        <w:ind w:firstLine="480" w:firstLineChars="200"/>
        <w:jc w:val="left"/>
        <w:rPr>
          <w:sz w:val="24"/>
        </w:rPr>
      </w:pPr>
      <w:r>
        <w:rPr>
          <w:sz w:val="24"/>
        </w:rPr>
        <w:t>4、乙方提供的货物必须是正品。</w:t>
      </w:r>
    </w:p>
    <w:p>
      <w:pPr>
        <w:tabs>
          <w:tab w:val="left" w:pos="360"/>
        </w:tabs>
        <w:spacing w:line="360" w:lineRule="auto"/>
        <w:ind w:firstLine="480" w:firstLineChars="200"/>
        <w:jc w:val="left"/>
        <w:rPr>
          <w:sz w:val="24"/>
        </w:rPr>
      </w:pPr>
      <w:r>
        <w:rPr>
          <w:sz w:val="24"/>
        </w:rPr>
        <w:t>5、因货物的质量问题发生争议，由南通市质量监督部门进行质量鉴定。货物符合质量标准的，鉴定费由甲方承担；货物不符合质量标准的，鉴定费由乙方承担，则该批货物无条件退货，由此所造成的直接经济损失，由乙方承担。</w:t>
      </w:r>
    </w:p>
    <w:p>
      <w:pPr>
        <w:tabs>
          <w:tab w:val="left" w:pos="360"/>
        </w:tabs>
        <w:spacing w:line="360" w:lineRule="auto"/>
        <w:ind w:firstLine="480" w:firstLineChars="200"/>
        <w:jc w:val="left"/>
        <w:rPr>
          <w:sz w:val="24"/>
        </w:rPr>
      </w:pPr>
      <w:r>
        <w:rPr>
          <w:sz w:val="24"/>
        </w:rPr>
        <w:t>6、货物非因甲方的人为原因而出现的质量问题由乙方负责包换或包退，并承担调换或退货的实际费用。乙方不给予调换的，均按不能交货处理。</w:t>
      </w:r>
    </w:p>
    <w:p>
      <w:pPr>
        <w:tabs>
          <w:tab w:val="left" w:pos="360"/>
        </w:tabs>
        <w:spacing w:line="360" w:lineRule="auto"/>
        <w:ind w:firstLine="482" w:firstLineChars="200"/>
        <w:jc w:val="left"/>
        <w:rPr>
          <w:b/>
          <w:bCs/>
          <w:sz w:val="24"/>
        </w:rPr>
      </w:pPr>
      <w:r>
        <w:rPr>
          <w:b/>
          <w:bCs/>
          <w:sz w:val="24"/>
        </w:rPr>
        <w:t>四、交货及验收：</w:t>
      </w:r>
    </w:p>
    <w:p>
      <w:pPr>
        <w:tabs>
          <w:tab w:val="left" w:pos="360"/>
        </w:tabs>
        <w:spacing w:line="360" w:lineRule="auto"/>
        <w:ind w:firstLine="480" w:firstLineChars="200"/>
        <w:jc w:val="left"/>
        <w:rPr>
          <w:sz w:val="24"/>
        </w:rPr>
      </w:pPr>
      <w:r>
        <w:rPr>
          <w:sz w:val="24"/>
        </w:rPr>
        <w:t>1、交货地点：</w:t>
      </w:r>
      <w:r>
        <w:rPr>
          <w:sz w:val="24"/>
          <w:u w:val="single"/>
        </w:rPr>
        <w:t xml:space="preserve">                       （甲方指定地点）</w:t>
      </w:r>
      <w:r>
        <w:rPr>
          <w:sz w:val="24"/>
        </w:rPr>
        <w:t>。</w:t>
      </w:r>
    </w:p>
    <w:p>
      <w:pPr>
        <w:tabs>
          <w:tab w:val="left" w:pos="360"/>
        </w:tabs>
        <w:spacing w:line="360" w:lineRule="auto"/>
        <w:ind w:firstLine="480" w:firstLineChars="200"/>
        <w:jc w:val="left"/>
        <w:rPr>
          <w:sz w:val="24"/>
        </w:rPr>
      </w:pPr>
      <w:r>
        <w:rPr>
          <w:sz w:val="24"/>
        </w:rPr>
        <w:t>2、交货时间：合同签定后</w:t>
      </w:r>
      <w:r>
        <w:rPr>
          <w:sz w:val="24"/>
          <w:u w:val="single"/>
        </w:rPr>
        <w:t xml:space="preserve">     </w:t>
      </w:r>
      <w:r>
        <w:rPr>
          <w:sz w:val="24"/>
        </w:rPr>
        <w:t>天内交货物，所送货物数量以甲方通告数量为准。</w:t>
      </w:r>
    </w:p>
    <w:p>
      <w:pPr>
        <w:tabs>
          <w:tab w:val="left" w:pos="360"/>
        </w:tabs>
        <w:spacing w:line="360" w:lineRule="auto"/>
        <w:ind w:firstLine="480" w:firstLineChars="200"/>
        <w:jc w:val="left"/>
        <w:rPr>
          <w:sz w:val="24"/>
        </w:rPr>
      </w:pPr>
      <w:r>
        <w:rPr>
          <w:sz w:val="24"/>
        </w:rPr>
        <w:t>3、货物须经甲方抽样检验，初验合格后方可收货，初验不合格者作退货并警告处理，如发现所供货物化验结果与样品化验单有明显差别（甲方要求的不在此列），甲方提出意见后乙方产品没有明显改善，甲方有权终止合同。</w:t>
      </w:r>
    </w:p>
    <w:p>
      <w:pPr>
        <w:spacing w:line="360" w:lineRule="auto"/>
        <w:ind w:firstLine="480" w:firstLineChars="200"/>
        <w:jc w:val="left"/>
        <w:rPr>
          <w:sz w:val="24"/>
        </w:rPr>
      </w:pPr>
      <w:r>
        <w:rPr>
          <w:sz w:val="24"/>
        </w:rPr>
        <w:t>4、乙方必须提供每批货物的生产厂家出厂合格证书及有关供货说明文件。</w:t>
      </w:r>
    </w:p>
    <w:p>
      <w:pPr>
        <w:tabs>
          <w:tab w:val="left" w:pos="360"/>
        </w:tabs>
        <w:snapToGrid w:val="0"/>
        <w:spacing w:line="360" w:lineRule="auto"/>
        <w:ind w:firstLine="482" w:firstLineChars="200"/>
        <w:rPr>
          <w:sz w:val="24"/>
        </w:rPr>
      </w:pPr>
      <w:r>
        <w:rPr>
          <w:b/>
          <w:sz w:val="24"/>
        </w:rPr>
        <w:t>五、付款方式</w:t>
      </w:r>
    </w:p>
    <w:p>
      <w:pPr>
        <w:snapToGrid w:val="0"/>
        <w:spacing w:line="360" w:lineRule="auto"/>
        <w:ind w:firstLine="480" w:firstLineChars="200"/>
        <w:textAlignment w:val="baseline"/>
        <w:rPr>
          <w:rStyle w:val="182"/>
          <w:sz w:val="24"/>
        </w:rPr>
      </w:pPr>
      <w:r>
        <w:rPr>
          <w:rStyle w:val="182"/>
          <w:sz w:val="24"/>
        </w:rPr>
        <w:t>1、合同签订后15日内，甲方向乙方支付合同价款的30%；</w:t>
      </w:r>
    </w:p>
    <w:p>
      <w:pPr>
        <w:snapToGrid w:val="0"/>
        <w:spacing w:line="360" w:lineRule="auto"/>
        <w:ind w:firstLine="480" w:firstLineChars="200"/>
        <w:textAlignment w:val="baseline"/>
        <w:rPr>
          <w:rStyle w:val="182"/>
          <w:sz w:val="24"/>
        </w:rPr>
      </w:pPr>
      <w:r>
        <w:rPr>
          <w:rStyle w:val="182"/>
          <w:sz w:val="24"/>
        </w:rPr>
        <w:t>2、乙方供货、安装调试结束，经验收合格后，甲方向乙方支付合同</w:t>
      </w:r>
      <w:r>
        <w:rPr>
          <w:rStyle w:val="182"/>
          <w:rFonts w:hint="eastAsia"/>
          <w:sz w:val="24"/>
        </w:rPr>
        <w:t>余款</w:t>
      </w:r>
      <w:r>
        <w:rPr>
          <w:rStyle w:val="182"/>
          <w:sz w:val="24"/>
        </w:rPr>
        <w:t xml:space="preserve">； </w:t>
      </w:r>
    </w:p>
    <w:p>
      <w:pPr>
        <w:snapToGrid w:val="0"/>
        <w:spacing w:line="360" w:lineRule="auto"/>
        <w:ind w:firstLine="480" w:firstLineChars="200"/>
        <w:textAlignment w:val="baseline"/>
        <w:rPr>
          <w:rStyle w:val="182"/>
          <w:sz w:val="24"/>
        </w:rPr>
      </w:pPr>
      <w:r>
        <w:rPr>
          <w:rStyle w:val="182"/>
          <w:sz w:val="24"/>
        </w:rPr>
        <w:t>3、款项由甲方按相关财务支付规定办理支付手续，发票由乙方按国家有关财税规定开具给甲方。</w:t>
      </w:r>
    </w:p>
    <w:p>
      <w:pPr>
        <w:snapToGrid w:val="0"/>
        <w:spacing w:line="360" w:lineRule="auto"/>
        <w:ind w:firstLine="482" w:firstLineChars="200"/>
        <w:contextualSpacing/>
        <w:rPr>
          <w:b/>
          <w:bCs/>
          <w:sz w:val="24"/>
        </w:rPr>
      </w:pPr>
      <w:r>
        <w:rPr>
          <w:b/>
          <w:sz w:val="24"/>
        </w:rPr>
        <w:t>六、违约责任</w:t>
      </w:r>
      <w:r>
        <w:rPr>
          <w:b/>
          <w:bCs/>
          <w:sz w:val="24"/>
        </w:rPr>
        <w:t xml:space="preserve"> </w:t>
      </w:r>
    </w:p>
    <w:p>
      <w:pPr>
        <w:tabs>
          <w:tab w:val="left" w:pos="360"/>
        </w:tabs>
        <w:spacing w:line="360" w:lineRule="auto"/>
        <w:ind w:firstLine="480" w:firstLineChars="200"/>
        <w:jc w:val="left"/>
        <w:rPr>
          <w:sz w:val="24"/>
        </w:rPr>
      </w:pPr>
      <w:r>
        <w:rPr>
          <w:sz w:val="24"/>
        </w:rPr>
        <w:t>1、乙方未能准时交付货物，每延迟1天须则向甲方支付合同价5‰的违约金。</w:t>
      </w:r>
    </w:p>
    <w:p>
      <w:pPr>
        <w:tabs>
          <w:tab w:val="left" w:pos="360"/>
        </w:tabs>
        <w:spacing w:line="360" w:lineRule="auto"/>
        <w:ind w:firstLine="480" w:firstLineChars="200"/>
        <w:jc w:val="left"/>
        <w:rPr>
          <w:sz w:val="24"/>
        </w:rPr>
      </w:pPr>
      <w:r>
        <w:rPr>
          <w:sz w:val="24"/>
        </w:rPr>
        <w:t>2、乙方交付的货物不符合合同规定的，甲方有权拒收，乙方在本合同第4条规定之外另应向甲方支付该批货物总额10%的违约金。</w:t>
      </w:r>
    </w:p>
    <w:p>
      <w:pPr>
        <w:tabs>
          <w:tab w:val="left" w:pos="360"/>
        </w:tabs>
        <w:spacing w:line="360" w:lineRule="auto"/>
        <w:ind w:firstLine="480" w:firstLineChars="200"/>
        <w:jc w:val="left"/>
        <w:rPr>
          <w:sz w:val="24"/>
        </w:rPr>
      </w:pPr>
      <w:r>
        <w:rPr>
          <w:sz w:val="24"/>
        </w:rPr>
        <w:t>3、甲方无正当理由拒收货物，拒付货款的，甲方向乙方偿付该批货物总额10%的违约金。</w:t>
      </w:r>
    </w:p>
    <w:p>
      <w:pPr>
        <w:tabs>
          <w:tab w:val="left" w:pos="360"/>
        </w:tabs>
        <w:spacing w:line="360" w:lineRule="auto"/>
        <w:ind w:firstLine="480" w:firstLineChars="200"/>
        <w:jc w:val="left"/>
        <w:rPr>
          <w:sz w:val="24"/>
        </w:rPr>
      </w:pPr>
      <w:r>
        <w:rPr>
          <w:sz w:val="24"/>
        </w:rPr>
        <w:t>4、因乙方不能按期交货超20天的，甲方有权购置其他产品替代该批货物，由此产生的差价损失由乙方支付。</w:t>
      </w:r>
    </w:p>
    <w:p>
      <w:pPr>
        <w:tabs>
          <w:tab w:val="left" w:pos="360"/>
        </w:tabs>
        <w:spacing w:line="360" w:lineRule="auto"/>
        <w:ind w:firstLine="480" w:firstLineChars="200"/>
        <w:jc w:val="left"/>
        <w:rPr>
          <w:sz w:val="24"/>
        </w:rPr>
      </w:pPr>
      <w:r>
        <w:rPr>
          <w:sz w:val="24"/>
        </w:rPr>
        <w:t>5、按合同约定乙方须支付的有关违约金，甲方有权直接从应付款项中予以扣除。</w:t>
      </w:r>
    </w:p>
    <w:p>
      <w:pPr>
        <w:snapToGrid w:val="0"/>
        <w:spacing w:line="360" w:lineRule="auto"/>
        <w:ind w:firstLine="482" w:firstLineChars="200"/>
        <w:rPr>
          <w:b/>
          <w:sz w:val="24"/>
        </w:rPr>
      </w:pPr>
      <w:r>
        <w:rPr>
          <w:b/>
          <w:sz w:val="24"/>
        </w:rPr>
        <w:t>七、不可抗力</w:t>
      </w:r>
    </w:p>
    <w:p>
      <w:pPr>
        <w:tabs>
          <w:tab w:val="left" w:pos="360"/>
        </w:tabs>
        <w:snapToGrid w:val="0"/>
        <w:spacing w:after="60" w:line="360" w:lineRule="auto"/>
        <w:ind w:firstLine="480" w:firstLineChars="200"/>
        <w:contextualSpacing/>
        <w:rPr>
          <w:sz w:val="24"/>
        </w:rPr>
      </w:pPr>
      <w:r>
        <w:rPr>
          <w:sz w:val="24"/>
        </w:rPr>
        <w:t>1、由于不可抗力因素（指火灾、地震、洪水、战争等）使乙方不能在合同规定的期限内交货时，乙方必须立即以书面形式通知甲方，并以书面形式向甲方提供有关政府机关所出具的不可抗力因素证明。</w:t>
      </w:r>
    </w:p>
    <w:p>
      <w:pPr>
        <w:tabs>
          <w:tab w:val="left" w:pos="360"/>
        </w:tabs>
        <w:snapToGrid w:val="0"/>
        <w:spacing w:after="60" w:line="360" w:lineRule="auto"/>
        <w:ind w:firstLine="480" w:firstLineChars="200"/>
        <w:contextualSpacing/>
        <w:rPr>
          <w:sz w:val="24"/>
        </w:rPr>
      </w:pPr>
      <w:r>
        <w:rPr>
          <w:sz w:val="24"/>
        </w:rPr>
        <w:t>2、在不可抗力发生时，乙方应尽快以书面形式将不可抗力的情况和原因通知甲方。</w:t>
      </w:r>
    </w:p>
    <w:p>
      <w:pPr>
        <w:tabs>
          <w:tab w:val="left" w:pos="360"/>
        </w:tabs>
        <w:snapToGrid w:val="0"/>
        <w:spacing w:after="60" w:line="360" w:lineRule="auto"/>
        <w:ind w:firstLine="480" w:firstLineChars="200"/>
        <w:contextualSpacing/>
        <w:rPr>
          <w:sz w:val="24"/>
        </w:rPr>
      </w:pPr>
      <w:r>
        <w:rPr>
          <w:sz w:val="24"/>
        </w:rPr>
        <w:t>3、除非甲方书面另有要求，乙方应尽可能继续履行合同义务，以及寻求合理的方案履行未受不可抗力影响的其它事项。</w:t>
      </w:r>
    </w:p>
    <w:p>
      <w:pPr>
        <w:tabs>
          <w:tab w:val="left" w:pos="360"/>
        </w:tabs>
        <w:snapToGrid w:val="0"/>
        <w:spacing w:after="60" w:line="360" w:lineRule="auto"/>
        <w:ind w:firstLine="480" w:firstLineChars="200"/>
        <w:contextualSpacing/>
        <w:rPr>
          <w:sz w:val="24"/>
        </w:rPr>
      </w:pPr>
      <w:r>
        <w:rPr>
          <w:sz w:val="24"/>
        </w:rPr>
        <w:t>4、如因不可抗力导致合同不能履约，并在30天内不能恢复履约，则任何一方可提出终止合同。在这种情况下，双方应协商解决合同终止以前双方应得的利益问题。</w:t>
      </w:r>
      <w:bookmarkStart w:id="24" w:name="_Toc81879420"/>
    </w:p>
    <w:bookmarkEnd w:id="24"/>
    <w:p>
      <w:pPr>
        <w:snapToGrid w:val="0"/>
        <w:spacing w:after="60" w:line="360" w:lineRule="auto"/>
        <w:ind w:firstLine="482" w:firstLineChars="200"/>
        <w:contextualSpacing/>
        <w:rPr>
          <w:sz w:val="24"/>
        </w:rPr>
      </w:pPr>
      <w:r>
        <w:rPr>
          <w:b/>
          <w:sz w:val="24"/>
        </w:rPr>
        <w:t>八、争议的解决</w:t>
      </w:r>
    </w:p>
    <w:p>
      <w:pPr>
        <w:snapToGrid w:val="0"/>
        <w:spacing w:after="60" w:line="360" w:lineRule="auto"/>
        <w:ind w:firstLine="480" w:firstLineChars="200"/>
        <w:contextualSpacing/>
        <w:rPr>
          <w:color w:val="000000"/>
          <w:sz w:val="24"/>
        </w:rPr>
      </w:pPr>
      <w:r>
        <w:rPr>
          <w:sz w:val="24"/>
        </w:rPr>
        <w:t>本合同发生争议，由双方协商或调解解决，协商或调解不成时可以向</w:t>
      </w:r>
      <w:r>
        <w:rPr>
          <w:color w:val="000000"/>
          <w:sz w:val="24"/>
        </w:rPr>
        <w:t>项目所在地有管辖权的人民法院起诉。</w:t>
      </w:r>
    </w:p>
    <w:p>
      <w:pPr>
        <w:snapToGrid w:val="0"/>
        <w:spacing w:after="60" w:line="360" w:lineRule="auto"/>
        <w:ind w:firstLine="482" w:firstLineChars="200"/>
        <w:contextualSpacing/>
        <w:rPr>
          <w:b/>
          <w:bCs/>
          <w:color w:val="000000"/>
          <w:sz w:val="24"/>
        </w:rPr>
      </w:pPr>
      <w:r>
        <w:rPr>
          <w:b/>
          <w:bCs/>
          <w:color w:val="000000"/>
          <w:sz w:val="24"/>
        </w:rPr>
        <w:t>九、合同构成</w:t>
      </w:r>
    </w:p>
    <w:p>
      <w:pPr>
        <w:snapToGrid w:val="0"/>
        <w:spacing w:after="60" w:line="360" w:lineRule="auto"/>
        <w:ind w:firstLine="480" w:firstLineChars="200"/>
        <w:contextualSpacing/>
        <w:rPr>
          <w:sz w:val="24"/>
        </w:rPr>
      </w:pPr>
      <w:r>
        <w:rPr>
          <w:color w:val="000000"/>
          <w:sz w:val="24"/>
        </w:rPr>
        <w:t>1、下述文件是构成合同不可分割的部分，具有与本合同同等的法律</w:t>
      </w:r>
      <w:r>
        <w:rPr>
          <w:sz w:val="24"/>
        </w:rPr>
        <w:t>效力，应一并阅读和理解。</w:t>
      </w:r>
    </w:p>
    <w:p>
      <w:pPr>
        <w:numPr>
          <w:ilvl w:val="0"/>
          <w:numId w:val="4"/>
        </w:numPr>
        <w:snapToGrid w:val="0"/>
        <w:spacing w:after="60" w:line="360" w:lineRule="auto"/>
        <w:contextualSpacing/>
        <w:rPr>
          <w:sz w:val="24"/>
        </w:rPr>
      </w:pPr>
      <w:r>
        <w:rPr>
          <w:sz w:val="24"/>
        </w:rPr>
        <w:t>本合同书；</w:t>
      </w:r>
    </w:p>
    <w:p>
      <w:pPr>
        <w:numPr>
          <w:ilvl w:val="0"/>
          <w:numId w:val="4"/>
        </w:numPr>
        <w:snapToGrid w:val="0"/>
        <w:spacing w:after="60" w:line="360" w:lineRule="auto"/>
        <w:contextualSpacing/>
        <w:rPr>
          <w:sz w:val="24"/>
        </w:rPr>
      </w:pPr>
      <w:r>
        <w:rPr>
          <w:sz w:val="24"/>
        </w:rPr>
        <w:t>成交通知书；</w:t>
      </w:r>
    </w:p>
    <w:p>
      <w:pPr>
        <w:numPr>
          <w:ilvl w:val="0"/>
          <w:numId w:val="4"/>
        </w:numPr>
        <w:snapToGrid w:val="0"/>
        <w:spacing w:after="60" w:line="360" w:lineRule="auto"/>
        <w:contextualSpacing/>
        <w:rPr>
          <w:sz w:val="24"/>
        </w:rPr>
      </w:pPr>
      <w:r>
        <w:rPr>
          <w:sz w:val="24"/>
        </w:rPr>
        <w:t>竞争性磋商文件及附件；</w:t>
      </w:r>
    </w:p>
    <w:p>
      <w:pPr>
        <w:numPr>
          <w:ilvl w:val="0"/>
          <w:numId w:val="4"/>
        </w:numPr>
        <w:snapToGrid w:val="0"/>
        <w:spacing w:after="60" w:line="360" w:lineRule="auto"/>
        <w:contextualSpacing/>
        <w:rPr>
          <w:sz w:val="24"/>
        </w:rPr>
      </w:pPr>
      <w:r>
        <w:rPr>
          <w:sz w:val="24"/>
        </w:rPr>
        <w:t>成交供应商响应文件及附件；</w:t>
      </w:r>
    </w:p>
    <w:p>
      <w:pPr>
        <w:numPr>
          <w:ilvl w:val="0"/>
          <w:numId w:val="4"/>
        </w:numPr>
        <w:snapToGrid w:val="0"/>
        <w:spacing w:after="60" w:line="360" w:lineRule="auto"/>
        <w:contextualSpacing/>
        <w:rPr>
          <w:sz w:val="24"/>
        </w:rPr>
      </w:pPr>
      <w:r>
        <w:rPr>
          <w:sz w:val="24"/>
        </w:rPr>
        <w:t>经双方协商一致达成的补充协议。</w:t>
      </w:r>
    </w:p>
    <w:p>
      <w:pPr>
        <w:tabs>
          <w:tab w:val="left" w:pos="360"/>
        </w:tabs>
        <w:snapToGrid w:val="0"/>
        <w:spacing w:after="60" w:line="360" w:lineRule="auto"/>
        <w:ind w:firstLine="480" w:firstLineChars="200"/>
        <w:contextualSpacing/>
        <w:rPr>
          <w:sz w:val="24"/>
        </w:rPr>
      </w:pPr>
      <w:r>
        <w:rPr>
          <w:sz w:val="24"/>
        </w:rPr>
        <w:t>2、上述文件应认为是互为补充和解释的，若有不明确及不一致之处，以上面所列顺序在前及时间在后者为准。</w:t>
      </w:r>
    </w:p>
    <w:p>
      <w:pPr>
        <w:pStyle w:val="21"/>
        <w:snapToGrid w:val="0"/>
        <w:spacing w:line="360" w:lineRule="auto"/>
        <w:ind w:firstLine="482" w:firstLineChars="200"/>
        <w:rPr>
          <w:rFonts w:ascii="Times New Roman" w:hAnsi="Times New Roman"/>
          <w:b/>
          <w:color w:val="000000"/>
          <w:sz w:val="24"/>
          <w:szCs w:val="24"/>
        </w:rPr>
      </w:pPr>
      <w:r>
        <w:rPr>
          <w:rFonts w:ascii="Times New Roman" w:hAnsi="Times New Roman"/>
          <w:b/>
          <w:sz w:val="24"/>
          <w:szCs w:val="24"/>
        </w:rPr>
        <w:t>十、合同</w:t>
      </w:r>
      <w:r>
        <w:rPr>
          <w:rFonts w:ascii="Times New Roman" w:hAnsi="Times New Roman"/>
          <w:b/>
          <w:color w:val="000000"/>
          <w:sz w:val="24"/>
          <w:szCs w:val="24"/>
        </w:rPr>
        <w:t>生效及其它约定事项</w:t>
      </w:r>
    </w:p>
    <w:p>
      <w:pPr>
        <w:pStyle w:val="21"/>
        <w:snapToGrid w:val="0"/>
        <w:spacing w:line="360" w:lineRule="auto"/>
        <w:ind w:firstLine="480" w:firstLineChars="200"/>
        <w:rPr>
          <w:rFonts w:ascii="Times New Roman" w:hAnsi="Times New Roman"/>
          <w:sz w:val="24"/>
          <w:szCs w:val="24"/>
        </w:rPr>
      </w:pPr>
      <w:r>
        <w:rPr>
          <w:rFonts w:ascii="Times New Roman" w:hAnsi="Times New Roman"/>
          <w:color w:val="000000"/>
          <w:sz w:val="24"/>
          <w:szCs w:val="24"/>
        </w:rPr>
        <w:t>1、合同经</w:t>
      </w:r>
      <w:r>
        <w:rPr>
          <w:rFonts w:ascii="Times New Roman" w:hAnsi="Times New Roman"/>
          <w:color w:val="000000"/>
          <w:sz w:val="24"/>
        </w:rPr>
        <w:t>甲、乙双方签字盖章之日起</w:t>
      </w:r>
      <w:r>
        <w:rPr>
          <w:rFonts w:ascii="Times New Roman" w:hAnsi="Times New Roman"/>
          <w:sz w:val="24"/>
          <w:szCs w:val="24"/>
        </w:rPr>
        <w:t>生效。</w:t>
      </w:r>
    </w:p>
    <w:p>
      <w:pPr>
        <w:snapToGrid w:val="0"/>
        <w:spacing w:line="360" w:lineRule="auto"/>
        <w:ind w:firstLine="480" w:firstLineChars="200"/>
        <w:rPr>
          <w:sz w:val="24"/>
        </w:rPr>
      </w:pPr>
      <w:r>
        <w:rPr>
          <w:sz w:val="24"/>
        </w:rPr>
        <w:t>2、本合同一式四份，具有同等法律效力，甲、乙双方各执二份。</w:t>
      </w:r>
    </w:p>
    <w:p>
      <w:pPr>
        <w:tabs>
          <w:tab w:val="left" w:pos="360"/>
        </w:tabs>
        <w:snapToGrid w:val="0"/>
        <w:spacing w:after="60" w:line="360" w:lineRule="auto"/>
        <w:ind w:firstLine="480" w:firstLineChars="200"/>
        <w:contextualSpacing/>
        <w:rPr>
          <w:sz w:val="24"/>
        </w:rPr>
      </w:pPr>
      <w:r>
        <w:rPr>
          <w:sz w:val="24"/>
        </w:rPr>
        <w:t>3、合同中未尽事宜，甲乙双方应友好协商，按国家有关法律、法规执行。</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left="5760" w:hanging="5760" w:hangingChars="2400"/>
        <w:contextualSpacing/>
        <w:rPr>
          <w:color w:val="000000"/>
          <w:sz w:val="24"/>
        </w:rPr>
      </w:pPr>
      <w:r>
        <w:rPr>
          <w:color w:val="000000"/>
          <w:sz w:val="24"/>
        </w:rPr>
        <w:t>甲方：</w:t>
      </w:r>
      <w:r>
        <w:rPr>
          <w:color w:val="000000"/>
          <w:sz w:val="24"/>
          <w:u w:val="single"/>
        </w:rPr>
        <w:t xml:space="preserve">                       </w:t>
      </w:r>
      <w:r>
        <w:rPr>
          <w:color w:val="000000"/>
          <w:sz w:val="24"/>
        </w:rPr>
        <w:t xml:space="preserve">           乙方：</w:t>
      </w:r>
      <w:r>
        <w:rPr>
          <w:color w:val="000000"/>
          <w:sz w:val="24"/>
          <w:u w:val="single"/>
        </w:rPr>
        <w:t xml:space="preserve">                       </w:t>
      </w:r>
    </w:p>
    <w:p>
      <w:pPr>
        <w:snapToGrid w:val="0"/>
        <w:spacing w:line="360" w:lineRule="auto"/>
        <w:ind w:left="5760" w:hanging="5760" w:hangingChars="2400"/>
        <w:contextualSpacing/>
        <w:rPr>
          <w:color w:val="000000"/>
          <w:sz w:val="24"/>
        </w:rPr>
      </w:pPr>
      <w:r>
        <w:rPr>
          <w:color w:val="000000"/>
          <w:sz w:val="24"/>
        </w:rPr>
        <w:t>地址：</w:t>
      </w:r>
      <w:r>
        <w:rPr>
          <w:color w:val="000000"/>
          <w:sz w:val="24"/>
          <w:u w:val="single"/>
        </w:rPr>
        <w:t xml:space="preserve">                       </w:t>
      </w:r>
      <w:r>
        <w:rPr>
          <w:color w:val="000000"/>
          <w:sz w:val="24"/>
        </w:rPr>
        <w:t xml:space="preserve">           地址：</w:t>
      </w:r>
      <w:r>
        <w:rPr>
          <w:color w:val="000000"/>
          <w:sz w:val="24"/>
          <w:u w:val="single"/>
        </w:rPr>
        <w:t xml:space="preserve">                       </w:t>
      </w:r>
    </w:p>
    <w:p>
      <w:pPr>
        <w:snapToGrid w:val="0"/>
        <w:spacing w:line="360" w:lineRule="auto"/>
        <w:contextualSpacing/>
        <w:rPr>
          <w:color w:val="000000"/>
          <w:sz w:val="24"/>
        </w:rPr>
      </w:pPr>
    </w:p>
    <w:p>
      <w:pPr>
        <w:snapToGrid w:val="0"/>
        <w:spacing w:line="360" w:lineRule="auto"/>
        <w:contextualSpacing/>
        <w:rPr>
          <w:color w:val="000000"/>
          <w:sz w:val="24"/>
          <w:u w:val="single"/>
        </w:rPr>
      </w:pPr>
      <w:r>
        <w:rPr>
          <w:color w:val="000000"/>
          <w:sz w:val="24"/>
        </w:rPr>
        <w:t>委托代理人：</w:t>
      </w:r>
      <w:r>
        <w:rPr>
          <w:color w:val="000000"/>
          <w:sz w:val="24"/>
          <w:u w:val="single"/>
        </w:rPr>
        <w:t xml:space="preserve">                 </w:t>
      </w:r>
      <w:r>
        <w:rPr>
          <w:color w:val="000000"/>
          <w:sz w:val="24"/>
        </w:rPr>
        <w:t xml:space="preserve">            委托代理人：</w:t>
      </w:r>
      <w:r>
        <w:rPr>
          <w:color w:val="000000"/>
          <w:sz w:val="24"/>
          <w:u w:val="single"/>
        </w:rPr>
        <w:t xml:space="preserve">                 </w:t>
      </w:r>
    </w:p>
    <w:p>
      <w:pPr>
        <w:snapToGrid w:val="0"/>
        <w:spacing w:line="360" w:lineRule="auto"/>
        <w:contextualSpacing/>
        <w:rPr>
          <w:color w:val="000000"/>
          <w:sz w:val="24"/>
          <w:u w:val="single"/>
        </w:rPr>
      </w:pPr>
    </w:p>
    <w:p>
      <w:pPr>
        <w:snapToGrid w:val="0"/>
        <w:spacing w:line="360" w:lineRule="auto"/>
        <w:contextualSpacing/>
        <w:rPr>
          <w:color w:val="000000"/>
          <w:sz w:val="24"/>
          <w:u w:val="single"/>
        </w:rPr>
      </w:pPr>
      <w:r>
        <w:rPr>
          <w:color w:val="000000"/>
          <w:sz w:val="24"/>
        </w:rPr>
        <w:t>电话：</w:t>
      </w:r>
      <w:r>
        <w:rPr>
          <w:color w:val="000000"/>
          <w:sz w:val="24"/>
          <w:u w:val="single"/>
          <w:lang w:val="zh-CN"/>
        </w:rPr>
        <w:t xml:space="preserve">                  </w:t>
      </w:r>
      <w:r>
        <w:rPr>
          <w:color w:val="000000"/>
          <w:sz w:val="24"/>
          <w:u w:val="single"/>
        </w:rPr>
        <w:t xml:space="preserve">     </w:t>
      </w:r>
      <w:r>
        <w:rPr>
          <w:color w:val="000000"/>
          <w:sz w:val="24"/>
        </w:rPr>
        <w:t xml:space="preserve">            电话：</w:t>
      </w:r>
      <w:r>
        <w:rPr>
          <w:color w:val="000000"/>
          <w:sz w:val="24"/>
          <w:u w:val="single"/>
        </w:rPr>
        <w:t xml:space="preserve">                       </w:t>
      </w:r>
    </w:p>
    <w:p>
      <w:pPr>
        <w:snapToGrid w:val="0"/>
        <w:spacing w:line="360" w:lineRule="auto"/>
        <w:contextualSpacing/>
        <w:rPr>
          <w:color w:val="000000"/>
          <w:sz w:val="24"/>
          <w:u w:val="single"/>
        </w:rPr>
      </w:pPr>
      <w:r>
        <w:rPr>
          <w:color w:val="000000"/>
          <w:sz w:val="24"/>
        </w:rPr>
        <w:t>传真：</w:t>
      </w:r>
      <w:r>
        <w:rPr>
          <w:color w:val="000000"/>
          <w:sz w:val="24"/>
          <w:u w:val="single"/>
          <w:lang w:val="zh-CN"/>
        </w:rPr>
        <w:t xml:space="preserve">                 </w:t>
      </w:r>
      <w:r>
        <w:rPr>
          <w:color w:val="000000"/>
          <w:sz w:val="24"/>
          <w:u w:val="single"/>
        </w:rPr>
        <w:t xml:space="preserve">      </w:t>
      </w:r>
      <w:r>
        <w:rPr>
          <w:color w:val="000000"/>
          <w:sz w:val="24"/>
        </w:rPr>
        <w:t xml:space="preserve">            传真：</w:t>
      </w:r>
      <w:r>
        <w:rPr>
          <w:color w:val="000000"/>
          <w:sz w:val="24"/>
          <w:u w:val="single"/>
        </w:rPr>
        <w:t xml:space="preserve">                       </w:t>
      </w:r>
    </w:p>
    <w:p>
      <w:pPr>
        <w:snapToGrid w:val="0"/>
        <w:spacing w:line="360" w:lineRule="auto"/>
        <w:ind w:left="5310" w:leftChars="1500" w:hanging="2160" w:hangingChars="900"/>
        <w:contextualSpacing/>
        <w:rPr>
          <w:color w:val="000000"/>
          <w:sz w:val="24"/>
          <w:u w:val="single"/>
        </w:rPr>
      </w:pPr>
      <w:r>
        <w:rPr>
          <w:color w:val="000000"/>
          <w:sz w:val="24"/>
        </w:rPr>
        <w:t xml:space="preserve">               开户银行：</w:t>
      </w:r>
      <w:r>
        <w:rPr>
          <w:color w:val="000000"/>
          <w:sz w:val="24"/>
          <w:u w:val="single"/>
          <w:lang w:val="zh-CN"/>
        </w:rPr>
        <w:t xml:space="preserve">                  </w:t>
      </w:r>
    </w:p>
    <w:p>
      <w:pPr>
        <w:snapToGrid w:val="0"/>
        <w:spacing w:line="360" w:lineRule="auto"/>
        <w:ind w:firstLine="2880" w:firstLineChars="1200"/>
        <w:contextualSpacing/>
        <w:rPr>
          <w:color w:val="000000"/>
          <w:sz w:val="24"/>
          <w:u w:val="single"/>
        </w:rPr>
      </w:pPr>
      <w:r>
        <w:rPr>
          <w:color w:val="000000"/>
          <w:sz w:val="24"/>
        </w:rPr>
        <w:t xml:space="preserve">                 账号：</w:t>
      </w:r>
      <w:r>
        <w:rPr>
          <w:color w:val="000000"/>
          <w:sz w:val="24"/>
          <w:u w:val="single"/>
          <w:lang w:val="zh-CN"/>
        </w:rPr>
        <w:t xml:space="preserve">                  </w:t>
      </w:r>
      <w:r>
        <w:rPr>
          <w:color w:val="000000"/>
          <w:sz w:val="24"/>
          <w:u w:val="single"/>
        </w:rPr>
        <w:t xml:space="preserve">     </w:t>
      </w:r>
    </w:p>
    <w:p>
      <w:pPr>
        <w:snapToGrid w:val="0"/>
        <w:spacing w:line="360" w:lineRule="auto"/>
        <w:contextualSpacing/>
        <w:rPr>
          <w:color w:val="000000"/>
          <w:sz w:val="24"/>
        </w:rPr>
      </w:pPr>
      <w:r>
        <w:rPr>
          <w:color w:val="000000"/>
          <w:sz w:val="24"/>
        </w:rPr>
        <w:t>签约时间：</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           签约时间：</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pPr>
        <w:snapToGrid w:val="0"/>
        <w:spacing w:line="360" w:lineRule="auto"/>
        <w:ind w:left="5760" w:hanging="5760" w:hangingChars="2400"/>
        <w:contextualSpacing/>
        <w:rPr>
          <w:sz w:val="24"/>
        </w:rPr>
      </w:pPr>
    </w:p>
    <w:p>
      <w:pPr>
        <w:snapToGrid w:val="0"/>
        <w:spacing w:line="360" w:lineRule="auto"/>
        <w:jc w:val="left"/>
        <w:rPr>
          <w:color w:val="000000"/>
          <w:sz w:val="24"/>
        </w:rPr>
      </w:pPr>
    </w:p>
    <w:p>
      <w:pPr>
        <w:autoSpaceDE w:val="0"/>
        <w:autoSpaceDN w:val="0"/>
        <w:adjustRightInd w:val="0"/>
        <w:snapToGrid w:val="0"/>
        <w:spacing w:line="360" w:lineRule="auto"/>
        <w:contextualSpacing/>
        <w:jc w:val="center"/>
        <w:rPr>
          <w:b/>
          <w:color w:val="000000"/>
          <w:sz w:val="36"/>
          <w:szCs w:val="36"/>
        </w:rPr>
      </w:pPr>
      <w:r>
        <w:rPr>
          <w:b/>
          <w:color w:val="000000"/>
          <w:sz w:val="36"/>
          <w:szCs w:val="36"/>
        </w:rPr>
        <w:br w:type="page"/>
      </w:r>
      <w:r>
        <w:rPr>
          <w:b/>
          <w:color w:val="000000"/>
          <w:sz w:val="36"/>
          <w:szCs w:val="36"/>
        </w:rPr>
        <w:t>第六部分  质疑提出和处理</w:t>
      </w:r>
    </w:p>
    <w:p>
      <w:pPr>
        <w:autoSpaceDE w:val="0"/>
        <w:autoSpaceDN w:val="0"/>
        <w:adjustRightInd w:val="0"/>
        <w:snapToGrid w:val="0"/>
        <w:spacing w:line="360" w:lineRule="auto"/>
        <w:ind w:firstLine="482" w:firstLineChars="200"/>
        <w:contextualSpacing/>
        <w:jc w:val="left"/>
        <w:rPr>
          <w:b/>
          <w:color w:val="000000"/>
          <w:kern w:val="0"/>
          <w:sz w:val="24"/>
        </w:rPr>
      </w:pPr>
      <w:r>
        <w:rPr>
          <w:b/>
          <w:color w:val="000000"/>
          <w:kern w:val="0"/>
          <w:sz w:val="24"/>
        </w:rPr>
        <w:t>一、质疑的提出</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 xml:space="preserve">(一)质疑人的身份要求 </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1.质疑人必须是直接参加本次采购活动的当事人。</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2.未参加投标活动的供应商或在投标活动中自身权益未受到损害的供应商所提出的质疑不予受理。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(二)质疑提出的格式要求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1.质疑必须按《政府采购法》、《政府采购法实施条例》及《江苏省政府采购供应商监督管理暂行办法》的相关规定提交，质疑实行实名制，不得进行虚假、恶意质疑，未按上述要求提交的质疑函，将不予受理。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2.质疑函应包括：</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（1）质疑投标供应商的名称、地址、邮编、联系人及联系电话；</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（2）具体、明确的质疑事项及明确的请求；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（3）质疑的事实依据和必要的法律依据；</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（4）提起质疑的日期；</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（5）认为自己合法权益受到损害或可能受到损害的相关证据材料；</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将不予受理。质疑人委托代理质疑的，应当提交授权委托书，并载明委托代理的具体权限和事项。</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3.质疑函需遵循的原则：</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（三）质疑提出的时效要求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投标供应商认为采购文件、采购过程和采购结果使自己的权益受到损害的，可以在知道或应知其权益受到损害之日起七个工作日内，以书面形式向采购人或代理机构提出质疑。上述应知其权益受到损害之日，是指：</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（1）对可以质疑的采购文件提出质疑的，为收到采购文件之日或者采购文件公告期限届满之日；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（2）对采购过程提出质疑的，为各采购程序环节结束之日；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（3）对中标或者成交结果提出质疑的，为中标或者成交结果公告期限届满之日。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投标供应商认为采购文件使自己的权益受到损害的，可以向采购人提出质疑；投标供应商认为采购过程和采购结果使自己的权益受到损害的，可以以书面形式向采购人或代理机构提出质疑。</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2.投标供应商应在法定质疑期一次性提出针对同一采购程序环节的质疑。</w:t>
      </w:r>
    </w:p>
    <w:p>
      <w:pPr>
        <w:autoSpaceDE w:val="0"/>
        <w:autoSpaceDN w:val="0"/>
        <w:adjustRightInd w:val="0"/>
        <w:snapToGrid w:val="0"/>
        <w:spacing w:line="360" w:lineRule="auto"/>
        <w:ind w:firstLine="482" w:firstLineChars="200"/>
        <w:contextualSpacing/>
        <w:jc w:val="left"/>
        <w:rPr>
          <w:b/>
          <w:color w:val="000000"/>
          <w:sz w:val="24"/>
        </w:rPr>
      </w:pPr>
      <w:r>
        <w:rPr>
          <w:b/>
          <w:color w:val="000000"/>
          <w:sz w:val="24"/>
        </w:rPr>
        <w:t>二、《质疑函》的受理和回复</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1.收到质疑函后，采购人将对质疑的形式和内容进行审查，如质疑函内容、格式不符合规定，采购人将告知质疑人进行补正。</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 质疑人应当在法定质疑期限内进行补正并重新提交质疑函，拒不补正或者在法定期限内未重新提交质疑函的，为无效质疑，采购人将不予受理。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3.采购人或采购代理机构答复供应商质疑应当采用书面方式并依法送达，质疑供应商或其委托代理人拒绝签收的视为已经送达。</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三、质疑处理</w:t>
      </w:r>
    </w:p>
    <w:p>
      <w:pPr>
        <w:autoSpaceDE w:val="0"/>
        <w:autoSpaceDN w:val="0"/>
        <w:adjustRightInd w:val="0"/>
        <w:snapToGrid w:val="0"/>
        <w:spacing w:line="360" w:lineRule="auto"/>
        <w:ind w:firstLine="482" w:firstLineChars="200"/>
        <w:contextualSpacing/>
        <w:jc w:val="left"/>
        <w:rPr>
          <w:b/>
          <w:color w:val="000000"/>
          <w:sz w:val="24"/>
        </w:rPr>
      </w:pPr>
      <w:r>
        <w:rPr>
          <w:b/>
          <w:color w:val="000000"/>
          <w:sz w:val="24"/>
        </w:rPr>
        <w:t>1、质疑成立的处理。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（1）对于内容、格式符合规定的质疑函，采购人在收到投标供应商的书面质疑后七个工作日内作出书面答复，但答复的内容不得涉及商业秘密。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（2）对采购文件提出的质疑，依法通过澄清或者修改可以继续开展采购活动的，澄清或者修改采购文件后继续开展采购活动；否则应当修改采购文件后重新开展采购活动。</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（3）对采购过程、中标或者成交结果提出的质疑，合格供应商符合法定数量时，可以从合格的中标候选人中另行确定中标、成交供应商，或重新开展采购活动。</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质疑答复导致中标、成交结果改变的，采购人或者采购代理机构应当将有关情况书面报告本级财政部门。</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2、质疑不成立的处理。</w:t>
      </w:r>
    </w:p>
    <w:p>
      <w:pPr>
        <w:snapToGrid w:val="0"/>
        <w:spacing w:line="360" w:lineRule="auto"/>
        <w:ind w:firstLine="480" w:firstLineChars="200"/>
        <w:contextualSpacing/>
        <w:jc w:val="left"/>
        <w:rPr>
          <w:sz w:val="24"/>
        </w:rPr>
      </w:pPr>
      <w:r>
        <w:rPr>
          <w:color w:val="000000"/>
          <w:kern w:val="0"/>
          <w:sz w:val="24"/>
          <w:lang w:val="zh-CN"/>
        </w:rPr>
        <w:t>（1）</w:t>
      </w:r>
      <w:r>
        <w:rPr>
          <w:sz w:val="24"/>
        </w:rPr>
        <w:t>若质疑不成立，或者成立未对中标、成交结果构成影响的，继续开展采购活动。</w:t>
      </w:r>
    </w:p>
    <w:p>
      <w:pPr>
        <w:snapToGrid w:val="0"/>
        <w:spacing w:line="360" w:lineRule="auto"/>
        <w:ind w:firstLine="460" w:firstLineChars="192"/>
        <w:contextualSpacing/>
        <w:jc w:val="left"/>
        <w:rPr>
          <w:color w:val="000000"/>
          <w:kern w:val="0"/>
          <w:sz w:val="24"/>
          <w:lang w:val="zh-CN"/>
        </w:rPr>
      </w:pPr>
      <w:r>
        <w:rPr>
          <w:color w:val="000000"/>
          <w:kern w:val="0"/>
          <w:sz w:val="24"/>
          <w:lang w:val="zh-CN"/>
        </w:rPr>
        <w:t>（2）对明显有违背事实的、经相关专家或评委认定无依据的、经其他供应商举证无依据的质疑，作违约处理，对其中每一项不成立的质疑给予质疑人1年内禁入由采购人组织的政府采购活动的违约处理。</w:t>
      </w:r>
    </w:p>
    <w:p>
      <w:pPr>
        <w:snapToGrid w:val="0"/>
        <w:spacing w:line="360" w:lineRule="auto"/>
        <w:ind w:firstLine="460" w:firstLineChars="192"/>
        <w:contextualSpacing/>
        <w:jc w:val="left"/>
        <w:rPr>
          <w:color w:val="000000"/>
          <w:kern w:val="0"/>
          <w:sz w:val="24"/>
          <w:lang w:val="zh-CN"/>
        </w:rPr>
      </w:pPr>
      <w:r>
        <w:rPr>
          <w:color w:val="000000"/>
          <w:kern w:val="0"/>
          <w:sz w:val="24"/>
          <w:lang w:val="zh-CN"/>
        </w:rPr>
        <w:t>（3）质疑人承担使用虚假材料或恶意方式质疑的法律责任。</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3、虚假质疑的处理</w:t>
      </w:r>
    </w:p>
    <w:p>
      <w:pPr>
        <w:snapToGrid w:val="0"/>
        <w:spacing w:line="360" w:lineRule="auto"/>
        <w:ind w:firstLine="460" w:firstLineChars="192"/>
        <w:contextualSpacing/>
        <w:jc w:val="left"/>
        <w:rPr>
          <w:color w:val="000000"/>
          <w:kern w:val="0"/>
          <w:sz w:val="24"/>
          <w:lang w:val="zh-CN"/>
        </w:rPr>
      </w:pPr>
      <w:r>
        <w:rPr>
          <w:color w:val="000000"/>
          <w:kern w:val="0"/>
          <w:sz w:val="24"/>
          <w:lang w:val="zh-CN"/>
        </w:rPr>
        <w:t>投标供应商提出书面质疑必须有理、有据，不得恶意质疑或提交虚假质疑。否则，一经查实，将依据政府采购的有关规定，报请政府采购监管部门对该投标供应商进行相应的行政处罚。</w:t>
      </w:r>
    </w:p>
    <w:p>
      <w:pPr>
        <w:snapToGrid w:val="0"/>
        <w:spacing w:line="300" w:lineRule="auto"/>
        <w:jc w:val="center"/>
        <w:outlineLvl w:val="0"/>
        <w:rPr>
          <w:color w:val="000000"/>
          <w:sz w:val="24"/>
        </w:rPr>
      </w:pPr>
    </w:p>
    <w:p>
      <w:pPr>
        <w:snapToGrid w:val="0"/>
        <w:spacing w:line="300" w:lineRule="auto"/>
        <w:jc w:val="center"/>
        <w:outlineLvl w:val="0"/>
        <w:rPr>
          <w:b/>
          <w:color w:val="000000"/>
          <w:sz w:val="36"/>
          <w:szCs w:val="36"/>
        </w:rPr>
      </w:pPr>
    </w:p>
    <w:p>
      <w:pPr>
        <w:snapToGrid w:val="0"/>
        <w:spacing w:line="300" w:lineRule="auto"/>
        <w:jc w:val="center"/>
        <w:outlineLvl w:val="0"/>
        <w:rPr>
          <w:b/>
          <w:color w:val="000000"/>
          <w:sz w:val="36"/>
          <w:szCs w:val="36"/>
        </w:rPr>
      </w:pPr>
      <w:r>
        <w:rPr>
          <w:b/>
          <w:color w:val="000000"/>
          <w:sz w:val="36"/>
          <w:szCs w:val="36"/>
        </w:rPr>
        <w:br w:type="page"/>
      </w:r>
      <w:r>
        <w:rPr>
          <w:b/>
          <w:color w:val="000000"/>
          <w:sz w:val="36"/>
          <w:szCs w:val="36"/>
        </w:rPr>
        <w:t>第七部分  响应文件组成</w:t>
      </w:r>
    </w:p>
    <w:p>
      <w:pPr>
        <w:snapToGrid w:val="0"/>
        <w:spacing w:line="360" w:lineRule="auto"/>
        <w:ind w:firstLine="422" w:firstLineChars="200"/>
        <w:jc w:val="left"/>
        <w:rPr>
          <w:b/>
          <w:color w:val="000000"/>
        </w:rPr>
      </w:pPr>
      <w:r>
        <w:rPr>
          <w:b/>
          <w:color w:val="000000"/>
        </w:rPr>
        <w:t>响应文件由资格审查证明材料、价格响应文件、技术商务响应文件三部分组成。</w:t>
      </w:r>
      <w:r>
        <w:rPr>
          <w:color w:val="000000"/>
          <w:sz w:val="24"/>
        </w:rPr>
        <w:t>供应商提供的响应文件材料须字迹清晰。如响应文件字迹模糊、无法辨认的须提供原件备查，否则由此造成的废标或不得分等后果由供应商自行承担。</w:t>
      </w:r>
    </w:p>
    <w:p>
      <w:pPr>
        <w:pStyle w:val="123"/>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一、资格审查证明材料(正本一份、副本二份，单独密封)：</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1、关于资格的声明函；</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2、法定代表人身份证明书及本人身份证复印件；或法定代表人授权委托书原件，身份证复印件（原件随身备查）；</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3、竞争性磋商响应函（格式详见附件）；</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4、提供磋商公告第二条资格要求中的相应的佐证材料（提供复印件并加盖公章）：</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4.1</w:t>
      </w:r>
      <w:r>
        <w:rPr>
          <w:rFonts w:ascii="Times New Roman" w:hAnsi="Times New Roman" w:cs="Times New Roman"/>
        </w:rPr>
        <w:t>法人或者其他组织的</w:t>
      </w:r>
      <w:r>
        <w:rPr>
          <w:rFonts w:ascii="Times New Roman" w:hAnsi="Times New Roman" w:cs="Times New Roman"/>
          <w:color w:val="000000"/>
        </w:rPr>
        <w:t>营业执照；</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4.2供应商2019或2020年度财务状况报告(新成立企业可不提供)；</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4.3</w:t>
      </w:r>
      <w:r>
        <w:rPr>
          <w:rFonts w:ascii="Times New Roman" w:hAnsi="Times New Roman" w:cs="Times New Roman"/>
          <w:color w:val="000000"/>
        </w:rPr>
        <w:tab/>
      </w:r>
      <w:r>
        <w:rPr>
          <w:rFonts w:ascii="Times New Roman" w:hAnsi="Times New Roman" w:cs="Times New Roman"/>
          <w:color w:val="000000"/>
        </w:rPr>
        <w:t>企业近半年内任意一个月依法缴纳税收凭证和社会保障资金的记录（依法享受缓缴、免缴税收、社会保障资金的提供证明材料）；</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4.4参与本次项目政府采购活动前三年内，在经营活动中没有重大违法记录的书面《无重大违法记录声明函》；</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4.5承诺书；</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5、其它需要提交的资格审查证明材料。</w:t>
      </w:r>
    </w:p>
    <w:p>
      <w:pPr>
        <w:pStyle w:val="123"/>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二、技术商务响应文件（正本一份、副本二份。不得出现报价。单独密封）：</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1、供应商情况一览表</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2、技术商务部分正负偏离表</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3、技术商务部分评标办法中要求提供的全部资料。</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4、请供应商按评审办法中所涉及的事项顺序进行编制，可以补充相关材料。</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5、评审办法中未涉及的事项，供应商认为需要提交的其他资料。</w:t>
      </w:r>
    </w:p>
    <w:p>
      <w:pPr>
        <w:pStyle w:val="123"/>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三、价格响应文件(正本一份、副本二份。单独密封，不得出现在技术商务响应文件部分)：</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1、磋商响应报价表；</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2、磋商响应报价明细表（如有，格式自拟）；</w:t>
      </w:r>
    </w:p>
    <w:p>
      <w:pPr>
        <w:pStyle w:val="123"/>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3、中小型企业声明函和残疾人福利性单位声明函（如有）</w:t>
      </w:r>
    </w:p>
    <w:p>
      <w:pPr>
        <w:snapToGrid w:val="0"/>
        <w:spacing w:line="420" w:lineRule="exact"/>
        <w:jc w:val="left"/>
        <w:rPr>
          <w:b/>
          <w:color w:val="000000"/>
          <w:sz w:val="24"/>
        </w:rPr>
      </w:pPr>
      <w:r>
        <w:rPr>
          <w:color w:val="000000"/>
        </w:rPr>
        <w:br w:type="page"/>
      </w:r>
      <w:r>
        <w:rPr>
          <w:b/>
          <w:color w:val="000000"/>
          <w:sz w:val="24"/>
        </w:rPr>
        <w:t>附件：</w:t>
      </w:r>
    </w:p>
    <w:p>
      <w:pPr>
        <w:snapToGrid w:val="0"/>
        <w:spacing w:line="420" w:lineRule="exact"/>
        <w:jc w:val="center"/>
        <w:rPr>
          <w:b/>
          <w:sz w:val="24"/>
        </w:rPr>
      </w:pPr>
      <w:r>
        <w:rPr>
          <w:b/>
          <w:bCs/>
          <w:sz w:val="24"/>
        </w:rPr>
        <w:t>1、关于资格的声明函</w:t>
      </w:r>
    </w:p>
    <w:p>
      <w:pPr>
        <w:snapToGrid w:val="0"/>
        <w:spacing w:line="520" w:lineRule="exact"/>
        <w:rPr>
          <w:sz w:val="24"/>
          <w:u w:val="single"/>
        </w:rPr>
      </w:pPr>
      <w:r>
        <w:rPr>
          <w:sz w:val="24"/>
          <w:u w:val="single"/>
        </w:rPr>
        <w:t>南通市生态环境综合行政执法局：</w:t>
      </w:r>
    </w:p>
    <w:p>
      <w:pPr>
        <w:overflowPunct w:val="0"/>
        <w:adjustRightInd w:val="0"/>
        <w:snapToGrid w:val="0"/>
        <w:spacing w:line="360" w:lineRule="auto"/>
        <w:ind w:firstLine="480" w:firstLineChars="200"/>
        <w:jc w:val="left"/>
        <w:textAlignment w:val="baseline"/>
        <w:rPr>
          <w:sz w:val="24"/>
        </w:rPr>
      </w:pPr>
      <w:r>
        <w:rPr>
          <w:sz w:val="24"/>
        </w:rPr>
        <w:t>本公司愿就由贵单位组织实施的</w:t>
      </w:r>
      <w:r>
        <w:rPr>
          <w:sz w:val="24"/>
          <w:u w:val="single"/>
        </w:rPr>
        <w:t xml:space="preserve">                        </w:t>
      </w:r>
      <w:r>
        <w:rPr>
          <w:sz w:val="24"/>
        </w:rPr>
        <w:t>（采购项目名称及项目编号)的采购活动进行投标。本公司所提交的投标文件中所有关于投标资格的文件、证明和陈述均是真实的、准确的。若与真实情况不符，本公司愿意承担由此而产生的一切后果。</w:t>
      </w:r>
    </w:p>
    <w:p>
      <w:pPr>
        <w:pStyle w:val="36"/>
        <w:snapToGrid w:val="0"/>
        <w:ind w:firstLine="420"/>
      </w:pPr>
    </w:p>
    <w:p>
      <w:pPr>
        <w:snapToGrid w:val="0"/>
        <w:spacing w:line="520" w:lineRule="exact"/>
        <w:jc w:val="right"/>
        <w:rPr>
          <w:sz w:val="24"/>
        </w:rPr>
      </w:pPr>
      <w:r>
        <w:rPr>
          <w:sz w:val="24"/>
        </w:rPr>
        <w:t>竞争性磋商响应单位：</w:t>
      </w:r>
      <w:r>
        <w:rPr>
          <w:sz w:val="24"/>
          <w:u w:val="single"/>
        </w:rPr>
        <w:t xml:space="preserve">                    </w:t>
      </w:r>
      <w:r>
        <w:rPr>
          <w:sz w:val="24"/>
        </w:rPr>
        <w:t>（加盖公章）</w:t>
      </w:r>
    </w:p>
    <w:p>
      <w:pPr>
        <w:snapToGrid w:val="0"/>
        <w:spacing w:line="520" w:lineRule="exact"/>
        <w:ind w:firstLine="2400" w:firstLineChars="1000"/>
        <w:jc w:val="right"/>
        <w:rPr>
          <w:sz w:val="24"/>
        </w:rPr>
      </w:pPr>
      <w:r>
        <w:rPr>
          <w:sz w:val="24"/>
        </w:rPr>
        <w:t>法定代表人或被授权人：</w:t>
      </w:r>
      <w:r>
        <w:rPr>
          <w:sz w:val="24"/>
          <w:u w:val="single"/>
        </w:rPr>
        <w:t xml:space="preserve">         </w:t>
      </w:r>
      <w:r>
        <w:rPr>
          <w:sz w:val="24"/>
        </w:rPr>
        <w:t>（签字或盖章）</w:t>
      </w:r>
    </w:p>
    <w:p>
      <w:pPr>
        <w:snapToGrid w:val="0"/>
        <w:spacing w:line="520" w:lineRule="exact"/>
        <w:jc w:val="right"/>
        <w:rPr>
          <w:sz w:val="24"/>
        </w:rPr>
      </w:pPr>
      <w:r>
        <w:rPr>
          <w:sz w:val="24"/>
        </w:rPr>
        <w:t>二〇二一年      月     日</w:t>
      </w:r>
    </w:p>
    <w:p>
      <w:pPr>
        <w:snapToGrid w:val="0"/>
        <w:spacing w:line="520" w:lineRule="exact"/>
        <w:jc w:val="center"/>
        <w:outlineLvl w:val="3"/>
        <w:rPr>
          <w:b/>
          <w:sz w:val="28"/>
          <w:szCs w:val="28"/>
        </w:rPr>
      </w:pPr>
    </w:p>
    <w:p>
      <w:pPr>
        <w:snapToGrid w:val="0"/>
        <w:spacing w:line="520" w:lineRule="exact"/>
        <w:jc w:val="center"/>
        <w:outlineLvl w:val="4"/>
        <w:rPr>
          <w:b/>
          <w:bCs/>
          <w:sz w:val="24"/>
        </w:rPr>
      </w:pPr>
      <w:r>
        <w:rPr>
          <w:b/>
          <w:bCs/>
          <w:sz w:val="24"/>
        </w:rPr>
        <w:br w:type="page"/>
      </w:r>
      <w:r>
        <w:rPr>
          <w:b/>
          <w:bCs/>
          <w:sz w:val="24"/>
        </w:rPr>
        <w:t>2、法定代表人身份证明</w:t>
      </w:r>
    </w:p>
    <w:p>
      <w:pPr>
        <w:snapToGrid w:val="0"/>
        <w:spacing w:line="520" w:lineRule="exact"/>
        <w:jc w:val="center"/>
        <w:rPr>
          <w:sz w:val="24"/>
        </w:rPr>
      </w:pPr>
      <w:r>
        <w:rPr>
          <w:sz w:val="24"/>
        </w:rPr>
        <w:t>（非法定代表人参加投标的无须提供）</w:t>
      </w:r>
    </w:p>
    <w:p>
      <w:pPr>
        <w:snapToGrid w:val="0"/>
        <w:spacing w:line="360" w:lineRule="auto"/>
        <w:rPr>
          <w:sz w:val="24"/>
          <w:u w:val="single"/>
        </w:rPr>
      </w:pPr>
      <w:r>
        <w:rPr>
          <w:sz w:val="24"/>
          <w:u w:val="single"/>
        </w:rPr>
        <w:t>南通市生态环境综合行政执法局：</w:t>
      </w:r>
    </w:p>
    <w:p>
      <w:pPr>
        <w:widowControl/>
        <w:adjustRightInd w:val="0"/>
        <w:snapToGrid w:val="0"/>
        <w:spacing w:line="360" w:lineRule="auto"/>
        <w:ind w:firstLine="480" w:firstLineChars="200"/>
        <w:jc w:val="left"/>
        <w:rPr>
          <w:kern w:val="0"/>
          <w:sz w:val="24"/>
        </w:rPr>
      </w:pPr>
      <w:r>
        <w:rPr>
          <w:sz w:val="24"/>
        </w:rPr>
        <w:t>我公司法定代表人</w:t>
      </w:r>
      <w:r>
        <w:rPr>
          <w:sz w:val="24"/>
          <w:u w:val="single"/>
        </w:rPr>
        <w:t xml:space="preserve">     　　　   </w:t>
      </w:r>
      <w:r>
        <w:rPr>
          <w:sz w:val="24"/>
        </w:rPr>
        <w:t>参加贵单位组织的</w:t>
      </w:r>
      <w:r>
        <w:rPr>
          <w:sz w:val="24"/>
          <w:u w:val="single"/>
        </w:rPr>
        <w:t xml:space="preserve">     </w:t>
      </w:r>
      <w:r>
        <w:rPr>
          <w:sz w:val="24"/>
        </w:rPr>
        <w:t>（竞争性磋商项目名称)项目的磋商活动，全权代表我公司处理该磋商活动的有关事宜。</w:t>
      </w:r>
    </w:p>
    <w:p>
      <w:pPr>
        <w:snapToGrid w:val="0"/>
        <w:spacing w:line="520" w:lineRule="exact"/>
        <w:ind w:firstLine="480" w:firstLineChars="200"/>
        <w:rPr>
          <w:sz w:val="24"/>
        </w:rPr>
      </w:pPr>
    </w:p>
    <w:p>
      <w:pPr>
        <w:snapToGrid w:val="0"/>
        <w:spacing w:line="520" w:lineRule="exact"/>
        <w:rPr>
          <w:sz w:val="24"/>
        </w:rPr>
      </w:pPr>
    </w:p>
    <w:p>
      <w:pPr>
        <w:snapToGrid w:val="0"/>
        <w:spacing w:line="520" w:lineRule="exact"/>
        <w:rPr>
          <w:sz w:val="24"/>
        </w:rPr>
      </w:pPr>
      <w:r>
        <w:rPr>
          <w:sz w:val="24"/>
        </w:rPr>
        <w:t>附：法定代表人情况：</w:t>
      </w:r>
    </w:p>
    <w:p>
      <w:pPr>
        <w:snapToGrid w:val="0"/>
        <w:spacing w:line="520" w:lineRule="exact"/>
        <w:rPr>
          <w:sz w:val="24"/>
          <w:u w:val="single"/>
        </w:rPr>
      </w:pPr>
      <w:r>
        <w:rPr>
          <w:sz w:val="24"/>
        </w:rPr>
        <w:t>姓名：</w:t>
      </w:r>
      <w:r>
        <w:rPr>
          <w:sz w:val="24"/>
          <w:u w:val="single"/>
        </w:rPr>
        <w:t xml:space="preserve">         </w:t>
      </w:r>
      <w:r>
        <w:rPr>
          <w:sz w:val="24"/>
        </w:rPr>
        <w:t>性别：</w:t>
      </w:r>
      <w:r>
        <w:rPr>
          <w:sz w:val="24"/>
          <w:u w:val="single"/>
        </w:rPr>
        <w:t xml:space="preserve">           </w:t>
      </w:r>
      <w:r>
        <w:rPr>
          <w:sz w:val="24"/>
        </w:rPr>
        <w:t>年龄：</w:t>
      </w:r>
      <w:r>
        <w:rPr>
          <w:sz w:val="24"/>
          <w:u w:val="single"/>
        </w:rPr>
        <w:t xml:space="preserve">          </w:t>
      </w:r>
      <w:r>
        <w:rPr>
          <w:sz w:val="24"/>
        </w:rPr>
        <w:t>职务：</w:t>
      </w:r>
      <w:r>
        <w:rPr>
          <w:sz w:val="24"/>
          <w:u w:val="single"/>
        </w:rPr>
        <w:t xml:space="preserve">          </w:t>
      </w:r>
    </w:p>
    <w:p>
      <w:pPr>
        <w:snapToGrid w:val="0"/>
        <w:spacing w:line="520" w:lineRule="exact"/>
        <w:rPr>
          <w:sz w:val="24"/>
        </w:rPr>
      </w:pPr>
      <w:r>
        <w:rPr>
          <w:sz w:val="24"/>
        </w:rPr>
        <w:t>身份证号码：</w:t>
      </w:r>
      <w:r>
        <w:rPr>
          <w:sz w:val="24"/>
          <w:u w:val="single"/>
        </w:rPr>
        <w:t xml:space="preserve">                                         </w:t>
      </w:r>
    </w:p>
    <w:p>
      <w:pPr>
        <w:snapToGrid w:val="0"/>
        <w:spacing w:line="520" w:lineRule="exact"/>
        <w:rPr>
          <w:sz w:val="24"/>
        </w:rPr>
      </w:pPr>
      <w:r>
        <w:rPr>
          <w:sz w:val="24"/>
        </w:rPr>
        <w:t>手机：</w:t>
      </w:r>
      <w:r>
        <w:rPr>
          <w:sz w:val="24"/>
          <w:u w:val="single"/>
        </w:rPr>
        <w:t xml:space="preserve">                  </w:t>
      </w:r>
      <w:r>
        <w:rPr>
          <w:sz w:val="24"/>
        </w:rPr>
        <w:t>传真：</w:t>
      </w:r>
      <w:r>
        <w:rPr>
          <w:sz w:val="24"/>
          <w:u w:val="single"/>
        </w:rPr>
        <w:t xml:space="preserve">                       </w:t>
      </w:r>
    </w:p>
    <w:p>
      <w:pPr>
        <w:snapToGrid w:val="0"/>
        <w:spacing w:line="520" w:lineRule="exact"/>
        <w:rPr>
          <w:sz w:val="24"/>
        </w:rPr>
      </w:pPr>
      <w:r>
        <w:rPr>
          <w:sz w:val="24"/>
        </w:rPr>
        <w:t> </w:t>
      </w:r>
    </w:p>
    <w:p>
      <w:pPr>
        <w:snapToGrid w:val="0"/>
        <w:spacing w:line="520" w:lineRule="exact"/>
        <w:rPr>
          <w:sz w:val="24"/>
        </w:rPr>
      </w:pPr>
      <w:r>
        <w:rPr>
          <w:sz w:val="24"/>
        </w:rPr>
        <w:t>单位名称（公章）             法定代表人（签字或盖章）</w:t>
      </w:r>
    </w:p>
    <w:p>
      <w:pPr>
        <w:snapToGrid w:val="0"/>
        <w:spacing w:line="520" w:lineRule="exact"/>
        <w:ind w:firstLine="1200" w:firstLineChars="500"/>
        <w:rPr>
          <w:sz w:val="24"/>
        </w:rPr>
      </w:pPr>
      <w:r>
        <w:rPr>
          <w:sz w:val="24"/>
        </w:rPr>
        <w:t xml:space="preserve">年   月   日                 年   月    日  </w:t>
      </w:r>
    </w:p>
    <w:p>
      <w:pPr>
        <w:snapToGrid w:val="0"/>
        <w:spacing w:line="520" w:lineRule="exact"/>
        <w:rPr>
          <w:sz w:val="24"/>
        </w:rPr>
      </w:pPr>
    </w:p>
    <w:p>
      <w:pPr>
        <w:snapToGrid w:val="0"/>
        <w:spacing w:line="520" w:lineRule="exact"/>
        <w:rPr>
          <w:b/>
          <w:sz w:val="24"/>
        </w:rPr>
      </w:pPr>
      <w:r>
        <w:rPr>
          <w:b/>
          <w:sz w:val="24"/>
        </w:rPr>
        <w:t>法定代表人身份证复印件</w:t>
      </w:r>
    </w:p>
    <w:p>
      <w:pPr>
        <w:snapToGrid w:val="0"/>
        <w:spacing w:line="520" w:lineRule="exact"/>
        <w:rPr>
          <w:sz w:val="24"/>
        </w:rPr>
      </w:pPr>
    </w:p>
    <w:p>
      <w:pPr>
        <w:snapToGrid w:val="0"/>
        <w:spacing w:line="520" w:lineRule="exact"/>
        <w:rPr>
          <w:sz w:val="24"/>
        </w:rPr>
      </w:pPr>
    </w:p>
    <w:p>
      <w:pPr>
        <w:snapToGrid w:val="0"/>
        <w:spacing w:line="520" w:lineRule="exact"/>
        <w:ind w:firstLine="2280" w:firstLineChars="950"/>
        <w:rPr>
          <w:sz w:val="24"/>
        </w:rPr>
      </w:pPr>
      <w:r>
        <w:rPr>
          <w:sz w:val="24"/>
        </w:rPr>
        <w:t>（粘贴此处）</w:t>
      </w:r>
    </w:p>
    <w:p>
      <w:pPr>
        <w:snapToGrid w:val="0"/>
        <w:spacing w:line="520" w:lineRule="exact"/>
        <w:ind w:firstLine="482" w:firstLineChars="200"/>
        <w:rPr>
          <w:b/>
          <w:bCs/>
          <w:sz w:val="24"/>
        </w:rPr>
      </w:pPr>
      <w:r>
        <w:rPr>
          <w:b/>
          <w:bCs/>
          <w:sz w:val="24"/>
        </w:rPr>
        <w:t>注: 法定代表人参加磋商活动时将身份证原件带至开标现场备查。</w:t>
      </w:r>
    </w:p>
    <w:p>
      <w:pPr>
        <w:pStyle w:val="36"/>
        <w:snapToGrid w:val="0"/>
        <w:ind w:firstLine="420"/>
      </w:pPr>
    </w:p>
    <w:p>
      <w:pPr>
        <w:snapToGrid w:val="0"/>
        <w:spacing w:line="520" w:lineRule="exact"/>
        <w:jc w:val="center"/>
        <w:outlineLvl w:val="4"/>
        <w:rPr>
          <w:b/>
          <w:bCs/>
          <w:sz w:val="24"/>
        </w:rPr>
      </w:pPr>
      <w:r>
        <w:rPr>
          <w:color w:val="000000"/>
        </w:rPr>
        <w:br w:type="page"/>
      </w:r>
      <w:r>
        <w:rPr>
          <w:b/>
          <w:bCs/>
          <w:sz w:val="24"/>
        </w:rPr>
        <w:t>3、授权委托书</w:t>
      </w:r>
    </w:p>
    <w:p>
      <w:pPr>
        <w:snapToGrid w:val="0"/>
        <w:spacing w:line="520" w:lineRule="exact"/>
        <w:jc w:val="center"/>
        <w:rPr>
          <w:sz w:val="24"/>
        </w:rPr>
      </w:pPr>
      <w:r>
        <w:rPr>
          <w:sz w:val="24"/>
        </w:rPr>
        <w:t>（法定代表人参加投标的无须提供）</w:t>
      </w:r>
    </w:p>
    <w:p>
      <w:pPr>
        <w:snapToGrid w:val="0"/>
        <w:spacing w:line="520" w:lineRule="exact"/>
        <w:rPr>
          <w:sz w:val="24"/>
          <w:u w:val="single"/>
        </w:rPr>
      </w:pPr>
      <w:r>
        <w:rPr>
          <w:sz w:val="24"/>
          <w:u w:val="single"/>
        </w:rPr>
        <w:t>南通市生态环境综合行政执法局：</w:t>
      </w:r>
    </w:p>
    <w:p>
      <w:pPr>
        <w:snapToGrid w:val="0"/>
        <w:spacing w:line="520" w:lineRule="exact"/>
        <w:ind w:left="1" w:firstLine="480" w:firstLineChars="200"/>
        <w:rPr>
          <w:sz w:val="24"/>
        </w:rPr>
      </w:pPr>
      <w:r>
        <w:rPr>
          <w:sz w:val="24"/>
        </w:rPr>
        <w:t>兹授权</w:t>
      </w:r>
      <w:r>
        <w:rPr>
          <w:sz w:val="24"/>
          <w:u w:val="single"/>
        </w:rPr>
        <w:t xml:space="preserve">               （</w:t>
      </w:r>
      <w:r>
        <w:rPr>
          <w:sz w:val="24"/>
        </w:rPr>
        <w:t>被授权人的姓名）代表我公司参加</w:t>
      </w:r>
      <w:r>
        <w:rPr>
          <w:sz w:val="24"/>
          <w:u w:val="single"/>
        </w:rPr>
        <w:t xml:space="preserve">     </w:t>
      </w:r>
      <w:r>
        <w:rPr>
          <w:sz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sz w:val="24"/>
        </w:rPr>
      </w:pPr>
      <w:r>
        <w:rPr>
          <w:sz w:val="24"/>
        </w:rPr>
        <w:t>被授权人无转委托权。特此委托。</w:t>
      </w:r>
    </w:p>
    <w:p>
      <w:pPr>
        <w:snapToGrid w:val="0"/>
        <w:spacing w:line="520" w:lineRule="exact"/>
        <w:rPr>
          <w:sz w:val="24"/>
        </w:rPr>
      </w:pPr>
    </w:p>
    <w:p>
      <w:pPr>
        <w:snapToGrid w:val="0"/>
        <w:spacing w:line="520" w:lineRule="exact"/>
        <w:rPr>
          <w:sz w:val="24"/>
        </w:rPr>
      </w:pPr>
      <w:r>
        <w:rPr>
          <w:sz w:val="24"/>
        </w:rPr>
        <w:t>附：被授权人情况：</w:t>
      </w:r>
    </w:p>
    <w:p>
      <w:pPr>
        <w:snapToGrid w:val="0"/>
        <w:spacing w:line="520" w:lineRule="exact"/>
        <w:rPr>
          <w:sz w:val="24"/>
          <w:u w:val="single"/>
        </w:rPr>
      </w:pPr>
      <w:r>
        <w:rPr>
          <w:sz w:val="24"/>
        </w:rPr>
        <w:t>姓名：</w:t>
      </w:r>
      <w:r>
        <w:rPr>
          <w:sz w:val="24"/>
          <w:u w:val="single"/>
        </w:rPr>
        <w:t xml:space="preserve">         </w:t>
      </w:r>
      <w:r>
        <w:rPr>
          <w:sz w:val="24"/>
        </w:rPr>
        <w:t>性别：</w:t>
      </w:r>
      <w:r>
        <w:rPr>
          <w:sz w:val="24"/>
          <w:u w:val="single"/>
        </w:rPr>
        <w:t xml:space="preserve">    </w:t>
      </w:r>
      <w:r>
        <w:rPr>
          <w:sz w:val="24"/>
        </w:rPr>
        <w:t>年龄：</w:t>
      </w:r>
      <w:r>
        <w:rPr>
          <w:sz w:val="24"/>
          <w:u w:val="single"/>
        </w:rPr>
        <w:t xml:space="preserve">      </w:t>
      </w:r>
      <w:r>
        <w:rPr>
          <w:sz w:val="24"/>
        </w:rPr>
        <w:t>职务：</w:t>
      </w:r>
      <w:r>
        <w:rPr>
          <w:sz w:val="24"/>
          <w:u w:val="single"/>
        </w:rPr>
        <w:t xml:space="preserve">          </w:t>
      </w:r>
    </w:p>
    <w:p>
      <w:pPr>
        <w:snapToGrid w:val="0"/>
        <w:spacing w:line="520" w:lineRule="exact"/>
        <w:rPr>
          <w:sz w:val="24"/>
        </w:rPr>
      </w:pPr>
      <w:r>
        <w:rPr>
          <w:sz w:val="24"/>
        </w:rPr>
        <w:t>身份证号码：</w:t>
      </w:r>
      <w:r>
        <w:rPr>
          <w:sz w:val="24"/>
          <w:u w:val="single"/>
        </w:rPr>
        <w:t xml:space="preserve">                                         </w:t>
      </w:r>
    </w:p>
    <w:p>
      <w:pPr>
        <w:snapToGrid w:val="0"/>
        <w:spacing w:line="520" w:lineRule="exact"/>
        <w:rPr>
          <w:sz w:val="24"/>
        </w:rPr>
      </w:pPr>
      <w:r>
        <w:rPr>
          <w:sz w:val="24"/>
        </w:rPr>
        <w:t>手机：</w:t>
      </w:r>
      <w:r>
        <w:rPr>
          <w:sz w:val="24"/>
          <w:u w:val="single"/>
        </w:rPr>
        <w:t xml:space="preserve">                 </w:t>
      </w:r>
      <w:r>
        <w:rPr>
          <w:sz w:val="24"/>
        </w:rPr>
        <w:t>传真：</w:t>
      </w:r>
      <w:r>
        <w:rPr>
          <w:sz w:val="24"/>
          <w:u w:val="single"/>
        </w:rPr>
        <w:t xml:space="preserve">                        </w:t>
      </w:r>
    </w:p>
    <w:p>
      <w:pPr>
        <w:snapToGrid w:val="0"/>
        <w:spacing w:line="520" w:lineRule="exact"/>
        <w:rPr>
          <w:sz w:val="24"/>
        </w:rPr>
      </w:pPr>
      <w:r>
        <w:rPr>
          <w:sz w:val="24"/>
        </w:rPr>
        <w:t> </w:t>
      </w:r>
    </w:p>
    <w:p>
      <w:pPr>
        <w:snapToGrid w:val="0"/>
        <w:spacing w:line="520" w:lineRule="exact"/>
        <w:rPr>
          <w:sz w:val="24"/>
        </w:rPr>
      </w:pPr>
      <w:r>
        <w:rPr>
          <w:sz w:val="24"/>
        </w:rPr>
        <w:t>单位名称（公章）             法定代表人（签字或盖章）</w:t>
      </w:r>
    </w:p>
    <w:p>
      <w:pPr>
        <w:snapToGrid w:val="0"/>
        <w:spacing w:line="520" w:lineRule="exact"/>
        <w:ind w:firstLine="1200" w:firstLineChars="500"/>
        <w:rPr>
          <w:sz w:val="24"/>
        </w:rPr>
      </w:pPr>
      <w:r>
        <w:rPr>
          <w:sz w:val="24"/>
        </w:rPr>
        <w:t xml:space="preserve">年   月   日                 年   月    日  </w:t>
      </w:r>
    </w:p>
    <w:p>
      <w:pPr>
        <w:snapToGrid w:val="0"/>
        <w:spacing w:line="520" w:lineRule="exact"/>
        <w:rPr>
          <w:sz w:val="24"/>
        </w:rPr>
      </w:pPr>
    </w:p>
    <w:p>
      <w:pPr>
        <w:pStyle w:val="36"/>
        <w:snapToGrid w:val="0"/>
        <w:ind w:firstLine="420"/>
      </w:pPr>
    </w:p>
    <w:p>
      <w:pPr>
        <w:snapToGrid w:val="0"/>
        <w:spacing w:line="520" w:lineRule="exact"/>
        <w:rPr>
          <w:b/>
          <w:sz w:val="24"/>
        </w:rPr>
      </w:pPr>
      <w:r>
        <w:rPr>
          <w:b/>
          <w:sz w:val="24"/>
        </w:rPr>
        <w:t>法定代表人身份证复印件</w:t>
      </w:r>
    </w:p>
    <w:p>
      <w:pPr>
        <w:snapToGrid w:val="0"/>
        <w:spacing w:line="520" w:lineRule="exact"/>
        <w:rPr>
          <w:b/>
          <w:sz w:val="24"/>
        </w:rPr>
      </w:pPr>
    </w:p>
    <w:p>
      <w:pPr>
        <w:snapToGrid w:val="0"/>
        <w:spacing w:line="520" w:lineRule="exact"/>
        <w:rPr>
          <w:b/>
          <w:sz w:val="24"/>
        </w:rPr>
      </w:pPr>
    </w:p>
    <w:p>
      <w:pPr>
        <w:snapToGrid w:val="0"/>
        <w:spacing w:line="520" w:lineRule="exact"/>
        <w:rPr>
          <w:b/>
          <w:sz w:val="24"/>
        </w:rPr>
      </w:pPr>
      <w:r>
        <w:rPr>
          <w:b/>
          <w:sz w:val="24"/>
        </w:rPr>
        <w:t>被授权人身份证复印件</w:t>
      </w:r>
    </w:p>
    <w:p>
      <w:pPr>
        <w:snapToGrid w:val="0"/>
        <w:spacing w:line="520" w:lineRule="exact"/>
        <w:rPr>
          <w:sz w:val="24"/>
        </w:rPr>
      </w:pPr>
    </w:p>
    <w:p>
      <w:pPr>
        <w:snapToGrid w:val="0"/>
        <w:spacing w:line="520" w:lineRule="exact"/>
        <w:jc w:val="center"/>
        <w:rPr>
          <w:b/>
          <w:bCs/>
          <w:sz w:val="24"/>
        </w:rPr>
      </w:pPr>
      <w:r>
        <w:rPr>
          <w:sz w:val="24"/>
        </w:rPr>
        <w:t>（粘贴此处）</w:t>
      </w:r>
    </w:p>
    <w:p>
      <w:pPr>
        <w:snapToGrid w:val="0"/>
        <w:spacing w:line="520" w:lineRule="exact"/>
        <w:ind w:firstLine="482" w:firstLineChars="200"/>
        <w:jc w:val="center"/>
        <w:rPr>
          <w:b/>
          <w:bCs/>
          <w:sz w:val="24"/>
        </w:rPr>
      </w:pPr>
      <w:r>
        <w:rPr>
          <w:b/>
          <w:bCs/>
          <w:sz w:val="24"/>
        </w:rPr>
        <w:t>注: 被授权人参加磋商活动时将本人身份证原件带至开标现场备查。</w:t>
      </w:r>
    </w:p>
    <w:p>
      <w:pPr>
        <w:snapToGrid w:val="0"/>
        <w:spacing w:line="520" w:lineRule="exact"/>
        <w:ind w:firstLine="482" w:firstLineChars="200"/>
        <w:jc w:val="center"/>
        <w:rPr>
          <w:b/>
          <w:bCs/>
          <w:sz w:val="24"/>
        </w:rPr>
      </w:pPr>
    </w:p>
    <w:p>
      <w:pPr>
        <w:snapToGrid w:val="0"/>
        <w:spacing w:line="520" w:lineRule="exact"/>
        <w:jc w:val="center"/>
        <w:outlineLvl w:val="4"/>
        <w:rPr>
          <w:b/>
          <w:bCs/>
          <w:sz w:val="24"/>
        </w:rPr>
      </w:pPr>
      <w:r>
        <w:rPr>
          <w:b/>
          <w:bCs/>
          <w:sz w:val="24"/>
        </w:rPr>
        <w:br w:type="page"/>
      </w:r>
      <w:r>
        <w:rPr>
          <w:b/>
          <w:bCs/>
          <w:sz w:val="24"/>
        </w:rPr>
        <w:t>4、无重大违法记录声明函</w:t>
      </w:r>
    </w:p>
    <w:p>
      <w:pPr>
        <w:snapToGrid w:val="0"/>
        <w:spacing w:line="520" w:lineRule="exact"/>
        <w:rPr>
          <w:sz w:val="24"/>
          <w:u w:val="single"/>
        </w:rPr>
      </w:pPr>
      <w:r>
        <w:rPr>
          <w:sz w:val="24"/>
          <w:u w:val="single"/>
        </w:rPr>
        <w:t>南通市生态环境综合行政执法局：</w:t>
      </w:r>
    </w:p>
    <w:p>
      <w:pPr>
        <w:snapToGrid w:val="0"/>
        <w:spacing w:line="560" w:lineRule="exact"/>
        <w:rPr>
          <w:sz w:val="24"/>
        </w:rPr>
      </w:pPr>
      <w:r>
        <w:rPr>
          <w:sz w:val="24"/>
        </w:rPr>
        <w:t xml:space="preserve">    我单位</w:t>
      </w:r>
      <w:r>
        <w:rPr>
          <w:sz w:val="24"/>
          <w:u w:val="single"/>
        </w:rPr>
        <w:t xml:space="preserve">               </w:t>
      </w:r>
      <w:r>
        <w:rPr>
          <w:sz w:val="24"/>
        </w:rPr>
        <w:t>（供应商名称）郑重声明：</w:t>
      </w:r>
    </w:p>
    <w:p>
      <w:pPr>
        <w:snapToGrid w:val="0"/>
        <w:spacing w:line="560" w:lineRule="exact"/>
        <w:rPr>
          <w:sz w:val="24"/>
        </w:rPr>
      </w:pPr>
      <w:r>
        <w:rPr>
          <w:sz w:val="24"/>
        </w:rPr>
        <w:t xml:space="preserve">    参加政府采购活动前3年内在经营活动中</w:t>
      </w:r>
      <w:r>
        <w:rPr>
          <w:sz w:val="24"/>
          <w:u w:val="single"/>
        </w:rPr>
        <w:t xml:space="preserve">        </w:t>
      </w:r>
      <w:r>
        <w:rPr>
          <w:sz w:val="24"/>
        </w:rPr>
        <w:t>（在下划线上如实填写：有或没有）重大违法记录。</w:t>
      </w:r>
    </w:p>
    <w:p>
      <w:pPr>
        <w:snapToGrid w:val="0"/>
        <w:spacing w:line="560" w:lineRule="exact"/>
        <w:ind w:firstLine="480"/>
        <w:rPr>
          <w:sz w:val="24"/>
        </w:rPr>
      </w:pPr>
      <w:r>
        <w:rPr>
          <w:sz w:val="24"/>
        </w:rPr>
        <w:t>（说明：政府采购法第二十二条第一款第五项所称重大违法记录，是指供应商因违法经营受到刑事处罚或者责令停产停业、吊销许可证或者执照、较大数额罚款等行政处罚。）</w:t>
      </w:r>
    </w:p>
    <w:p>
      <w:pPr>
        <w:snapToGrid w:val="0"/>
        <w:spacing w:line="420" w:lineRule="exact"/>
        <w:rPr>
          <w:sz w:val="24"/>
        </w:rPr>
      </w:pPr>
      <w:r>
        <w:rPr>
          <w:sz w:val="24"/>
        </w:rPr>
        <w:t xml:space="preserve">                                                       </w:t>
      </w:r>
    </w:p>
    <w:p>
      <w:pPr>
        <w:snapToGrid w:val="0"/>
        <w:spacing w:line="420" w:lineRule="exact"/>
        <w:ind w:firstLine="6360" w:firstLineChars="2650"/>
        <w:rPr>
          <w:sz w:val="24"/>
        </w:rPr>
      </w:pPr>
      <w:r>
        <w:rPr>
          <w:sz w:val="24"/>
        </w:rPr>
        <w:t xml:space="preserve"> 声明人：（公章）</w:t>
      </w:r>
    </w:p>
    <w:p>
      <w:pPr>
        <w:snapToGrid w:val="0"/>
        <w:spacing w:line="420" w:lineRule="exact"/>
        <w:jc w:val="right"/>
        <w:rPr>
          <w:sz w:val="24"/>
        </w:rPr>
      </w:pPr>
      <w:r>
        <w:rPr>
          <w:sz w:val="24"/>
        </w:rPr>
        <w:t xml:space="preserve">                                                   年     月    日</w:t>
      </w:r>
    </w:p>
    <w:p>
      <w:pPr>
        <w:snapToGrid w:val="0"/>
        <w:spacing w:line="520" w:lineRule="exact"/>
        <w:ind w:firstLine="482" w:firstLineChars="200"/>
        <w:jc w:val="center"/>
        <w:rPr>
          <w:b/>
          <w:bCs/>
          <w:sz w:val="24"/>
        </w:rPr>
      </w:pPr>
      <w:r>
        <w:rPr>
          <w:b/>
          <w:sz w:val="24"/>
        </w:rPr>
        <w:br w:type="page"/>
      </w:r>
      <w:r>
        <w:rPr>
          <w:b/>
          <w:sz w:val="24"/>
        </w:rPr>
        <w:t>5、</w:t>
      </w:r>
      <w:r>
        <w:rPr>
          <w:b/>
          <w:bCs/>
          <w:sz w:val="24"/>
        </w:rPr>
        <w:t>竞争性磋商响应函</w:t>
      </w:r>
    </w:p>
    <w:p>
      <w:pPr>
        <w:snapToGrid w:val="0"/>
        <w:spacing w:line="520" w:lineRule="exact"/>
        <w:rPr>
          <w:sz w:val="24"/>
          <w:u w:val="single"/>
        </w:rPr>
      </w:pPr>
      <w:r>
        <w:rPr>
          <w:sz w:val="24"/>
          <w:u w:val="single"/>
        </w:rPr>
        <w:t>南通市生态环境综合行政执法局：</w:t>
      </w:r>
    </w:p>
    <w:p>
      <w:pPr>
        <w:snapToGrid w:val="0"/>
        <w:spacing w:line="360" w:lineRule="auto"/>
        <w:ind w:firstLine="480" w:firstLineChars="200"/>
        <w:outlineLvl w:val="3"/>
        <w:rPr>
          <w:sz w:val="24"/>
        </w:rPr>
      </w:pPr>
      <w:r>
        <w:rPr>
          <w:sz w:val="24"/>
        </w:rPr>
        <w:t>依据贵单位委托代理机构组织的</w:t>
      </w:r>
      <w:r>
        <w:rPr>
          <w:sz w:val="24"/>
          <w:u w:val="single"/>
        </w:rPr>
        <w:t xml:space="preserve">               </w:t>
      </w:r>
      <w:r>
        <w:rPr>
          <w:sz w:val="24"/>
        </w:rPr>
        <w:t>（磋商项目名称)项目竞争性磋商的邀请，我方授权</w:t>
      </w:r>
      <w:r>
        <w:rPr>
          <w:sz w:val="24"/>
          <w:u w:val="single"/>
        </w:rPr>
        <w:t xml:space="preserve">    </w:t>
      </w:r>
      <w:r>
        <w:rPr>
          <w:sz w:val="24"/>
        </w:rPr>
        <w:t>（姓名）</w:t>
      </w:r>
      <w:r>
        <w:rPr>
          <w:sz w:val="24"/>
          <w:u w:val="single"/>
        </w:rPr>
        <w:t xml:space="preserve">     </w:t>
      </w:r>
      <w:r>
        <w:rPr>
          <w:sz w:val="24"/>
        </w:rPr>
        <w:t>（职务）为全权代表参加该项目的磋商工作，全权处理本次竞争性磋商的有关事宜。同时，我公司声明如下：</w:t>
      </w:r>
    </w:p>
    <w:p>
      <w:pPr>
        <w:snapToGrid w:val="0"/>
        <w:spacing w:line="360" w:lineRule="auto"/>
        <w:ind w:firstLine="480" w:firstLineChars="200"/>
        <w:outlineLvl w:val="3"/>
        <w:rPr>
          <w:sz w:val="24"/>
        </w:rPr>
      </w:pPr>
      <w:r>
        <w:rPr>
          <w:sz w:val="24"/>
        </w:rPr>
        <w:t>1、同意并接受竞争性磋商文件的各项要求，遵守竞争性磋商文件中的各项规定，按竞争性磋商文件的要求提供报价。</w:t>
      </w:r>
    </w:p>
    <w:p>
      <w:pPr>
        <w:snapToGrid w:val="0"/>
        <w:spacing w:line="360" w:lineRule="auto"/>
        <w:ind w:firstLine="480" w:firstLineChars="200"/>
        <w:outlineLvl w:val="3"/>
        <w:rPr>
          <w:sz w:val="24"/>
        </w:rPr>
      </w:pPr>
      <w:r>
        <w:rPr>
          <w:sz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360" w:lineRule="auto"/>
        <w:ind w:firstLine="480" w:firstLineChars="200"/>
        <w:outlineLvl w:val="3"/>
        <w:rPr>
          <w:sz w:val="24"/>
        </w:rPr>
      </w:pPr>
      <w:r>
        <w:rPr>
          <w:sz w:val="24"/>
        </w:rPr>
        <w:t>3、我公司已毫无保留地向贵方提供一切所需的证明材料。</w:t>
      </w:r>
    </w:p>
    <w:p>
      <w:pPr>
        <w:snapToGrid w:val="0"/>
        <w:spacing w:line="360" w:lineRule="auto"/>
        <w:ind w:firstLine="480" w:firstLineChars="200"/>
        <w:outlineLvl w:val="3"/>
        <w:rPr>
          <w:sz w:val="24"/>
        </w:rPr>
      </w:pPr>
      <w:r>
        <w:rPr>
          <w:sz w:val="24"/>
        </w:rPr>
        <w:t>4、我公司承诺在本次磋商响应中提供的一切文件，无论是原件还是复印件均真实有效，绝无任何虚假、伪造和夸大的成份。否则，愿承担相应的后果和法律责任。</w:t>
      </w:r>
    </w:p>
    <w:p>
      <w:pPr>
        <w:snapToGrid w:val="0"/>
        <w:spacing w:line="360" w:lineRule="auto"/>
        <w:ind w:firstLine="480" w:firstLineChars="200"/>
        <w:outlineLvl w:val="3"/>
        <w:rPr>
          <w:sz w:val="24"/>
        </w:rPr>
      </w:pPr>
      <w:r>
        <w:rPr>
          <w:sz w:val="24"/>
        </w:rPr>
        <w:t>5、我公司尊重磋商小组所作的评定结果，同时清楚理解到报价最低并非意味着必定获得成交资格。</w:t>
      </w:r>
    </w:p>
    <w:p>
      <w:pPr>
        <w:snapToGrid w:val="0"/>
        <w:spacing w:line="360" w:lineRule="auto"/>
        <w:ind w:firstLine="480" w:firstLineChars="200"/>
        <w:outlineLvl w:val="3"/>
        <w:rPr>
          <w:sz w:val="24"/>
        </w:rPr>
      </w:pPr>
      <w:r>
        <w:rPr>
          <w:sz w:val="24"/>
        </w:rPr>
        <w:t>6、一旦成交，我方承诺无正当理由拒绝签订合同，将被贵方取消成交资格。</w:t>
      </w:r>
    </w:p>
    <w:p>
      <w:pPr>
        <w:snapToGrid w:val="0"/>
        <w:spacing w:line="360" w:lineRule="auto"/>
        <w:ind w:firstLine="480" w:firstLineChars="200"/>
        <w:outlineLvl w:val="3"/>
        <w:rPr>
          <w:sz w:val="24"/>
        </w:rPr>
      </w:pPr>
      <w:r>
        <w:rPr>
          <w:sz w:val="24"/>
        </w:rPr>
        <w:t>7、一旦成交，我方将根据竞争性磋商文件的规定，严格履行合同规定的责任和义务。否则，我方同意无条件接受贵单位终止合同的要求。</w:t>
      </w:r>
    </w:p>
    <w:p>
      <w:pPr>
        <w:pStyle w:val="36"/>
        <w:snapToGrid w:val="0"/>
        <w:ind w:firstLine="420"/>
      </w:pPr>
    </w:p>
    <w:p>
      <w:pPr>
        <w:snapToGrid w:val="0"/>
        <w:spacing w:line="520" w:lineRule="exact"/>
        <w:jc w:val="right"/>
        <w:outlineLvl w:val="3"/>
        <w:rPr>
          <w:sz w:val="24"/>
        </w:rPr>
      </w:pPr>
      <w:r>
        <w:rPr>
          <w:sz w:val="24"/>
        </w:rPr>
        <w:t>竞争性磋商响应单位：</w:t>
      </w:r>
      <w:r>
        <w:rPr>
          <w:sz w:val="24"/>
          <w:u w:val="single"/>
        </w:rPr>
        <w:t xml:space="preserve">                    </w:t>
      </w:r>
      <w:r>
        <w:rPr>
          <w:sz w:val="24"/>
        </w:rPr>
        <w:t>（加盖公章）</w:t>
      </w:r>
    </w:p>
    <w:p>
      <w:pPr>
        <w:snapToGrid w:val="0"/>
        <w:spacing w:line="520" w:lineRule="exact"/>
        <w:jc w:val="right"/>
        <w:outlineLvl w:val="3"/>
        <w:rPr>
          <w:sz w:val="24"/>
        </w:rPr>
      </w:pPr>
      <w:r>
        <w:rPr>
          <w:sz w:val="24"/>
        </w:rPr>
        <w:t>法定代表人或被授权人：</w:t>
      </w:r>
      <w:r>
        <w:rPr>
          <w:sz w:val="24"/>
          <w:u w:val="single"/>
        </w:rPr>
        <w:t xml:space="preserve">         </w:t>
      </w:r>
      <w:r>
        <w:rPr>
          <w:sz w:val="24"/>
        </w:rPr>
        <w:t>（签字或盖章）</w:t>
      </w:r>
    </w:p>
    <w:p>
      <w:pPr>
        <w:snapToGrid w:val="0"/>
        <w:spacing w:line="520" w:lineRule="exact"/>
        <w:jc w:val="right"/>
        <w:outlineLvl w:val="3"/>
        <w:rPr>
          <w:sz w:val="24"/>
        </w:rPr>
      </w:pPr>
      <w:r>
        <w:rPr>
          <w:sz w:val="24"/>
        </w:rPr>
        <w:t>二〇二一年      月     日</w:t>
      </w:r>
    </w:p>
    <w:p>
      <w:pPr>
        <w:snapToGrid w:val="0"/>
        <w:spacing w:line="520" w:lineRule="exact"/>
        <w:outlineLvl w:val="3"/>
        <w:rPr>
          <w:sz w:val="24"/>
        </w:rPr>
      </w:pPr>
      <w:r>
        <w:rPr>
          <w:sz w:val="24"/>
        </w:rPr>
        <w:t xml:space="preserve"> </w:t>
      </w:r>
    </w:p>
    <w:p>
      <w:pPr>
        <w:pStyle w:val="90"/>
        <w:snapToGrid w:val="0"/>
        <w:spacing w:line="300" w:lineRule="auto"/>
        <w:ind w:firstLine="0" w:firstLineChars="0"/>
        <w:contextualSpacing/>
        <w:rPr>
          <w:rFonts w:ascii="Times New Roman" w:hAnsi="Times New Roman"/>
          <w:b/>
          <w:color w:val="000000"/>
          <w:sz w:val="36"/>
          <w:szCs w:val="36"/>
        </w:rPr>
      </w:pPr>
    </w:p>
    <w:p>
      <w:pPr>
        <w:snapToGrid w:val="0"/>
        <w:spacing w:line="520" w:lineRule="exact"/>
        <w:jc w:val="center"/>
        <w:outlineLvl w:val="4"/>
        <w:rPr>
          <w:b/>
          <w:bCs/>
          <w:sz w:val="24"/>
        </w:rPr>
      </w:pPr>
      <w:r>
        <w:rPr>
          <w:b/>
          <w:bCs/>
          <w:sz w:val="24"/>
        </w:rPr>
        <w:br w:type="page"/>
      </w:r>
      <w:r>
        <w:rPr>
          <w:b/>
          <w:sz w:val="24"/>
        </w:rPr>
        <w:t>6、</w:t>
      </w:r>
      <w:r>
        <w:rPr>
          <w:b/>
          <w:bCs/>
          <w:sz w:val="24"/>
        </w:rPr>
        <w:t>承诺书</w:t>
      </w:r>
    </w:p>
    <w:p>
      <w:pPr>
        <w:snapToGrid w:val="0"/>
        <w:spacing w:line="520" w:lineRule="exact"/>
        <w:rPr>
          <w:sz w:val="24"/>
          <w:u w:val="single"/>
        </w:rPr>
      </w:pPr>
      <w:r>
        <w:rPr>
          <w:sz w:val="24"/>
          <w:u w:val="single"/>
        </w:rPr>
        <w:t>南通市生态环境综合行政执法局：</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我公司</w:t>
      </w:r>
      <w:r>
        <w:rPr>
          <w:rFonts w:ascii="Times New Roman" w:hAnsi="Times New Roman" w:cs="Times New Roman"/>
          <w:u w:val="single"/>
        </w:rPr>
        <w:t xml:space="preserve">               </w:t>
      </w:r>
      <w:r>
        <w:rPr>
          <w:rFonts w:ascii="Times New Roman" w:hAnsi="Times New Roman" w:cs="Times New Roman"/>
        </w:rPr>
        <w:t>（响应供应商名称）参加贵单位委托代理机构组织的</w:t>
      </w:r>
      <w:r>
        <w:rPr>
          <w:rFonts w:ascii="Times New Roman" w:hAnsi="Times New Roman" w:cs="Times New Roman"/>
          <w:u w:val="single"/>
        </w:rPr>
        <w:t xml:space="preserve">               </w:t>
      </w:r>
      <w:r>
        <w:rPr>
          <w:rFonts w:ascii="Times New Roman" w:hAnsi="Times New Roman" w:cs="Times New Roman"/>
        </w:rPr>
        <w:t>（磋商项目名称)项目竞争性磋商投标响应，作为如下承诺：</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1、我公司具备履行本项目合同所必需的人员、设备和专业技术的能力；</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2、截至投标截止时间前，我公司未被“信用中国”网站（www.creditchina.gov.cn）列入失信被执行人、重大税收违法案件当事人名单，未被“中国政府采购网”（www.ccgp.gov.cn）政府采购不良行为记录名单。</w:t>
      </w:r>
    </w:p>
    <w:p>
      <w:pPr>
        <w:pStyle w:val="123"/>
        <w:snapToGrid w:val="0"/>
        <w:spacing w:line="360" w:lineRule="auto"/>
        <w:ind w:firstLine="480" w:firstLineChars="200"/>
        <w:contextualSpacing/>
        <w:rPr>
          <w:rFonts w:ascii="Times New Roman" w:hAnsi="Times New Roman" w:cs="Times New Roman"/>
        </w:rPr>
      </w:pPr>
      <w:r>
        <w:rPr>
          <w:rFonts w:ascii="Times New Roman" w:hAnsi="Times New Roman" w:cs="Times New Roman"/>
        </w:rPr>
        <w:t>我公司对以上承诺的真实性负责。如有虚假，将承担一切后果和法律责任。</w:t>
      </w:r>
    </w:p>
    <w:p>
      <w:pPr>
        <w:pStyle w:val="123"/>
        <w:snapToGrid w:val="0"/>
        <w:spacing w:line="360" w:lineRule="auto"/>
        <w:ind w:firstLine="480" w:firstLineChars="200"/>
        <w:contextualSpacing/>
        <w:rPr>
          <w:rFonts w:ascii="Times New Roman" w:hAnsi="Times New Roman" w:cs="Times New Roman"/>
        </w:rPr>
      </w:pPr>
    </w:p>
    <w:p>
      <w:pPr>
        <w:snapToGrid w:val="0"/>
        <w:spacing w:line="520" w:lineRule="exact"/>
        <w:jc w:val="right"/>
        <w:outlineLvl w:val="3"/>
        <w:rPr>
          <w:sz w:val="24"/>
        </w:rPr>
      </w:pPr>
      <w:r>
        <w:rPr>
          <w:sz w:val="24"/>
        </w:rPr>
        <w:t>竞争性磋商响应单位：</w:t>
      </w:r>
      <w:r>
        <w:rPr>
          <w:sz w:val="24"/>
          <w:u w:val="single"/>
        </w:rPr>
        <w:t xml:space="preserve">                    </w:t>
      </w:r>
      <w:r>
        <w:rPr>
          <w:sz w:val="24"/>
        </w:rPr>
        <w:t>（加盖公章）</w:t>
      </w:r>
    </w:p>
    <w:p>
      <w:pPr>
        <w:snapToGrid w:val="0"/>
        <w:spacing w:line="520" w:lineRule="exact"/>
        <w:jc w:val="right"/>
        <w:outlineLvl w:val="3"/>
        <w:rPr>
          <w:sz w:val="24"/>
        </w:rPr>
      </w:pPr>
      <w:r>
        <w:rPr>
          <w:sz w:val="24"/>
        </w:rPr>
        <w:t>法定代表人或被授权人：</w:t>
      </w:r>
      <w:r>
        <w:rPr>
          <w:sz w:val="24"/>
          <w:u w:val="single"/>
        </w:rPr>
        <w:t xml:space="preserve">         </w:t>
      </w:r>
      <w:r>
        <w:rPr>
          <w:sz w:val="24"/>
        </w:rPr>
        <w:t>（签字或盖章）</w:t>
      </w:r>
    </w:p>
    <w:p>
      <w:pPr>
        <w:snapToGrid w:val="0"/>
        <w:spacing w:line="520" w:lineRule="exact"/>
        <w:jc w:val="right"/>
        <w:outlineLvl w:val="3"/>
        <w:rPr>
          <w:sz w:val="24"/>
        </w:rPr>
      </w:pPr>
      <w:r>
        <w:rPr>
          <w:sz w:val="24"/>
        </w:rPr>
        <w:t>二〇二一年      月     日</w:t>
      </w:r>
    </w:p>
    <w:p>
      <w:pPr>
        <w:snapToGrid w:val="0"/>
        <w:spacing w:line="560" w:lineRule="exact"/>
        <w:rPr>
          <w:sz w:val="24"/>
        </w:rPr>
      </w:pPr>
    </w:p>
    <w:p>
      <w:pPr>
        <w:snapToGrid w:val="0"/>
        <w:spacing w:line="520" w:lineRule="exact"/>
        <w:ind w:firstLine="482" w:firstLineChars="200"/>
        <w:jc w:val="center"/>
        <w:rPr>
          <w:b/>
          <w:bCs/>
          <w:sz w:val="24"/>
        </w:rPr>
      </w:pPr>
      <w:r>
        <w:rPr>
          <w:b/>
          <w:bCs/>
          <w:sz w:val="24"/>
        </w:rPr>
        <w:br w:type="page"/>
      </w:r>
      <w:r>
        <w:rPr>
          <w:b/>
          <w:bCs/>
          <w:sz w:val="24"/>
        </w:rPr>
        <w:t>7、供应商情况一览表</w:t>
      </w:r>
    </w:p>
    <w:p>
      <w:pPr>
        <w:snapToGrid w:val="0"/>
        <w:spacing w:line="420" w:lineRule="exact"/>
        <w:jc w:val="center"/>
        <w:rPr>
          <w:b/>
          <w:bCs/>
          <w:sz w:val="24"/>
        </w:rPr>
      </w:pPr>
    </w:p>
    <w:tbl>
      <w:tblPr>
        <w:tblStyle w:val="3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22"/>
        <w:gridCol w:w="567"/>
        <w:gridCol w:w="946"/>
        <w:gridCol w:w="1263"/>
        <w:gridCol w:w="151"/>
        <w:gridCol w:w="1184"/>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5" w:type="dxa"/>
            <w:gridSpan w:val="2"/>
            <w:tcBorders>
              <w:top w:val="double" w:color="auto" w:sz="4" w:space="0"/>
              <w:left w:val="double" w:color="auto" w:sz="4" w:space="0"/>
            </w:tcBorders>
            <w:vAlign w:val="center"/>
          </w:tcPr>
          <w:p>
            <w:pPr>
              <w:tabs>
                <w:tab w:val="left" w:pos="4320"/>
              </w:tabs>
              <w:snapToGrid w:val="0"/>
              <w:jc w:val="center"/>
              <w:rPr>
                <w:color w:val="000000"/>
                <w:sz w:val="24"/>
              </w:rPr>
            </w:pPr>
            <w:r>
              <w:rPr>
                <w:color w:val="000000"/>
                <w:sz w:val="24"/>
              </w:rPr>
              <w:t>单位名称</w:t>
            </w:r>
          </w:p>
        </w:tc>
        <w:tc>
          <w:tcPr>
            <w:tcW w:w="6662" w:type="dxa"/>
            <w:gridSpan w:val="7"/>
            <w:tcBorders>
              <w:top w:val="double" w:color="auto" w:sz="4" w:space="0"/>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85" w:type="dxa"/>
            <w:gridSpan w:val="2"/>
            <w:tcBorders>
              <w:left w:val="double" w:color="auto" w:sz="4" w:space="0"/>
              <w:right w:val="single" w:color="auto" w:sz="4" w:space="0"/>
            </w:tcBorders>
            <w:vAlign w:val="center"/>
          </w:tcPr>
          <w:p>
            <w:pPr>
              <w:tabs>
                <w:tab w:val="left" w:pos="4320"/>
              </w:tabs>
              <w:snapToGrid w:val="0"/>
              <w:rPr>
                <w:color w:val="000000"/>
                <w:sz w:val="24"/>
              </w:rPr>
            </w:pPr>
            <w:r>
              <w:rPr>
                <w:color w:val="000000"/>
                <w:sz w:val="24"/>
              </w:rPr>
              <w:t>单位优势及特长</w:t>
            </w:r>
          </w:p>
        </w:tc>
        <w:tc>
          <w:tcPr>
            <w:tcW w:w="6662" w:type="dxa"/>
            <w:gridSpan w:val="7"/>
            <w:tcBorders>
              <w:left w:val="single" w:color="auto" w:sz="4" w:space="0"/>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restart"/>
            <w:tcBorders>
              <w:left w:val="double" w:color="auto" w:sz="4" w:space="0"/>
            </w:tcBorders>
            <w:vAlign w:val="center"/>
          </w:tcPr>
          <w:p>
            <w:pPr>
              <w:tabs>
                <w:tab w:val="left" w:pos="4320"/>
              </w:tabs>
              <w:snapToGrid w:val="0"/>
              <w:ind w:left="266" w:hanging="266" w:hangingChars="111"/>
              <w:rPr>
                <w:color w:val="000000"/>
                <w:sz w:val="24"/>
              </w:rPr>
            </w:pPr>
            <w:r>
              <w:rPr>
                <w:color w:val="000000"/>
                <w:sz w:val="24"/>
              </w:rPr>
              <w:t>单位</w:t>
            </w:r>
          </w:p>
          <w:p>
            <w:pPr>
              <w:tabs>
                <w:tab w:val="left" w:pos="4320"/>
              </w:tabs>
              <w:snapToGrid w:val="0"/>
              <w:ind w:left="266" w:hanging="266" w:hangingChars="111"/>
              <w:rPr>
                <w:color w:val="000000"/>
                <w:sz w:val="24"/>
              </w:rPr>
            </w:pPr>
            <w:r>
              <w:rPr>
                <w:color w:val="000000"/>
                <w:sz w:val="24"/>
              </w:rPr>
              <w:t>概况</w:t>
            </w:r>
          </w:p>
        </w:tc>
        <w:tc>
          <w:tcPr>
            <w:tcW w:w="1276" w:type="dxa"/>
            <w:vAlign w:val="center"/>
          </w:tcPr>
          <w:p>
            <w:pPr>
              <w:tabs>
                <w:tab w:val="left" w:pos="4320"/>
              </w:tabs>
              <w:snapToGrid w:val="0"/>
              <w:jc w:val="center"/>
              <w:rPr>
                <w:color w:val="000000"/>
                <w:sz w:val="24"/>
              </w:rPr>
            </w:pPr>
            <w:r>
              <w:rPr>
                <w:color w:val="000000"/>
                <w:sz w:val="24"/>
              </w:rPr>
              <w:t>职工总数</w:t>
            </w:r>
          </w:p>
        </w:tc>
        <w:tc>
          <w:tcPr>
            <w:tcW w:w="1422" w:type="dxa"/>
            <w:vAlign w:val="center"/>
          </w:tcPr>
          <w:p>
            <w:pPr>
              <w:tabs>
                <w:tab w:val="left" w:pos="4320"/>
              </w:tabs>
              <w:snapToGrid w:val="0"/>
              <w:jc w:val="right"/>
              <w:rPr>
                <w:color w:val="000000"/>
                <w:sz w:val="24"/>
              </w:rPr>
            </w:pPr>
            <w:r>
              <w:rPr>
                <w:color w:val="000000"/>
                <w:sz w:val="24"/>
              </w:rPr>
              <w:t>人</w:t>
            </w:r>
          </w:p>
        </w:tc>
        <w:tc>
          <w:tcPr>
            <w:tcW w:w="567" w:type="dxa"/>
            <w:vMerge w:val="restart"/>
            <w:vAlign w:val="center"/>
          </w:tcPr>
          <w:p>
            <w:pPr>
              <w:tabs>
                <w:tab w:val="left" w:pos="4320"/>
              </w:tabs>
              <w:snapToGrid w:val="0"/>
              <w:rPr>
                <w:color w:val="000000"/>
                <w:sz w:val="24"/>
              </w:rPr>
            </w:pPr>
            <w:r>
              <w:rPr>
                <w:color w:val="000000"/>
                <w:sz w:val="24"/>
              </w:rPr>
              <w:t>上一年主要经济指标</w:t>
            </w:r>
          </w:p>
        </w:tc>
        <w:tc>
          <w:tcPr>
            <w:tcW w:w="946" w:type="dxa"/>
            <w:vAlign w:val="center"/>
          </w:tcPr>
          <w:p>
            <w:pPr>
              <w:tabs>
                <w:tab w:val="left" w:pos="4320"/>
              </w:tabs>
              <w:snapToGrid w:val="0"/>
              <w:jc w:val="center"/>
              <w:rPr>
                <w:color w:val="000000"/>
                <w:sz w:val="24"/>
              </w:rPr>
            </w:pPr>
            <w:r>
              <w:rPr>
                <w:color w:val="000000"/>
                <w:sz w:val="24"/>
              </w:rPr>
              <w:t>营业额</w:t>
            </w:r>
          </w:p>
        </w:tc>
        <w:tc>
          <w:tcPr>
            <w:tcW w:w="1414" w:type="dxa"/>
            <w:gridSpan w:val="2"/>
            <w:vAlign w:val="center"/>
          </w:tcPr>
          <w:p>
            <w:pPr>
              <w:tabs>
                <w:tab w:val="left" w:pos="4320"/>
              </w:tabs>
              <w:snapToGrid w:val="0"/>
              <w:rPr>
                <w:color w:val="000000"/>
                <w:sz w:val="24"/>
              </w:rPr>
            </w:pPr>
          </w:p>
        </w:tc>
        <w:tc>
          <w:tcPr>
            <w:tcW w:w="1184" w:type="dxa"/>
            <w:vAlign w:val="center"/>
          </w:tcPr>
          <w:p>
            <w:pPr>
              <w:tabs>
                <w:tab w:val="left" w:pos="4320"/>
              </w:tabs>
              <w:snapToGrid w:val="0"/>
              <w:jc w:val="center"/>
              <w:rPr>
                <w:color w:val="000000"/>
                <w:sz w:val="24"/>
              </w:rPr>
            </w:pPr>
            <w:r>
              <w:rPr>
                <w:color w:val="000000"/>
                <w:sz w:val="24"/>
              </w:rPr>
              <w:t>实现利润</w:t>
            </w:r>
          </w:p>
        </w:tc>
        <w:tc>
          <w:tcPr>
            <w:tcW w:w="1129" w:type="dxa"/>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ind w:left="266" w:hanging="266" w:hangingChars="111"/>
              <w:rPr>
                <w:color w:val="000000"/>
                <w:sz w:val="24"/>
              </w:rPr>
            </w:pPr>
          </w:p>
        </w:tc>
        <w:tc>
          <w:tcPr>
            <w:tcW w:w="1276" w:type="dxa"/>
            <w:vAlign w:val="center"/>
          </w:tcPr>
          <w:p>
            <w:pPr>
              <w:tabs>
                <w:tab w:val="left" w:pos="4320"/>
              </w:tabs>
              <w:snapToGrid w:val="0"/>
              <w:jc w:val="center"/>
              <w:rPr>
                <w:color w:val="000000"/>
                <w:sz w:val="24"/>
              </w:rPr>
            </w:pPr>
            <w:r>
              <w:rPr>
                <w:color w:val="000000"/>
                <w:sz w:val="24"/>
              </w:rPr>
              <w:t>流动资金</w:t>
            </w:r>
          </w:p>
        </w:tc>
        <w:tc>
          <w:tcPr>
            <w:tcW w:w="1422" w:type="dxa"/>
            <w:vAlign w:val="center"/>
          </w:tcPr>
          <w:p>
            <w:pPr>
              <w:tabs>
                <w:tab w:val="left" w:pos="4320"/>
              </w:tabs>
              <w:snapToGrid w:val="0"/>
              <w:jc w:val="right"/>
              <w:rPr>
                <w:color w:val="000000"/>
                <w:sz w:val="24"/>
              </w:rPr>
            </w:pPr>
            <w:r>
              <w:rPr>
                <w:color w:val="000000"/>
                <w:sz w:val="24"/>
              </w:rPr>
              <w:t>万元</w:t>
            </w:r>
          </w:p>
        </w:tc>
        <w:tc>
          <w:tcPr>
            <w:tcW w:w="567" w:type="dxa"/>
            <w:vMerge w:val="continue"/>
            <w:vAlign w:val="center"/>
          </w:tcPr>
          <w:p>
            <w:pPr>
              <w:tabs>
                <w:tab w:val="left" w:pos="4320"/>
              </w:tabs>
              <w:snapToGrid w:val="0"/>
              <w:rPr>
                <w:color w:val="000000"/>
                <w:sz w:val="24"/>
              </w:rPr>
            </w:pPr>
          </w:p>
        </w:tc>
        <w:tc>
          <w:tcPr>
            <w:tcW w:w="946" w:type="dxa"/>
            <w:vMerge w:val="restart"/>
            <w:vAlign w:val="center"/>
          </w:tcPr>
          <w:p>
            <w:pPr>
              <w:tabs>
                <w:tab w:val="left" w:pos="4320"/>
              </w:tabs>
              <w:snapToGrid w:val="0"/>
              <w:jc w:val="center"/>
              <w:rPr>
                <w:color w:val="000000"/>
                <w:sz w:val="24"/>
              </w:rPr>
            </w:pPr>
            <w:r>
              <w:rPr>
                <w:color w:val="000000"/>
                <w:sz w:val="24"/>
              </w:rPr>
              <w:t>主要产品或服务内容</w:t>
            </w:r>
          </w:p>
        </w:tc>
        <w:tc>
          <w:tcPr>
            <w:tcW w:w="3727" w:type="dxa"/>
            <w:gridSpan w:val="4"/>
            <w:tcBorders>
              <w:right w:val="double" w:color="auto" w:sz="4" w:space="0"/>
            </w:tcBorders>
            <w:vAlign w:val="center"/>
          </w:tcPr>
          <w:p>
            <w:pPr>
              <w:tabs>
                <w:tab w:val="left" w:pos="4320"/>
              </w:tabs>
              <w:snapToGrid w:val="0"/>
              <w:spacing w:before="120" w:after="120"/>
              <w:rPr>
                <w:color w:val="000000"/>
                <w:sz w:val="24"/>
              </w:rPr>
            </w:pPr>
            <w:r>
              <w:rPr>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709" w:type="dxa"/>
            <w:vMerge w:val="continue"/>
            <w:tcBorders>
              <w:left w:val="double" w:color="auto" w:sz="4" w:space="0"/>
            </w:tcBorders>
            <w:vAlign w:val="center"/>
          </w:tcPr>
          <w:p>
            <w:pPr>
              <w:tabs>
                <w:tab w:val="left" w:pos="4320"/>
              </w:tabs>
              <w:snapToGrid w:val="0"/>
              <w:ind w:left="266" w:hanging="266" w:hangingChars="111"/>
              <w:rPr>
                <w:color w:val="000000"/>
                <w:sz w:val="24"/>
              </w:rPr>
            </w:pPr>
          </w:p>
        </w:tc>
        <w:tc>
          <w:tcPr>
            <w:tcW w:w="1276" w:type="dxa"/>
            <w:vAlign w:val="center"/>
          </w:tcPr>
          <w:p>
            <w:pPr>
              <w:tabs>
                <w:tab w:val="left" w:pos="4320"/>
              </w:tabs>
              <w:snapToGrid w:val="0"/>
              <w:jc w:val="center"/>
              <w:rPr>
                <w:color w:val="000000"/>
                <w:sz w:val="24"/>
              </w:rPr>
            </w:pPr>
            <w:r>
              <w:rPr>
                <w:color w:val="000000"/>
                <w:sz w:val="24"/>
              </w:rPr>
              <w:t>固定资产</w:t>
            </w:r>
          </w:p>
          <w:p>
            <w:pPr>
              <w:tabs>
                <w:tab w:val="left" w:pos="4320"/>
              </w:tabs>
              <w:snapToGrid w:val="0"/>
              <w:jc w:val="center"/>
              <w:rPr>
                <w:color w:val="000000"/>
                <w:sz w:val="24"/>
              </w:rPr>
            </w:pPr>
            <w:r>
              <w:rPr>
                <w:color w:val="000000"/>
                <w:sz w:val="24"/>
              </w:rPr>
              <w:t>（万元）</w:t>
            </w:r>
          </w:p>
        </w:tc>
        <w:tc>
          <w:tcPr>
            <w:tcW w:w="1422" w:type="dxa"/>
            <w:vAlign w:val="center"/>
          </w:tcPr>
          <w:p>
            <w:pPr>
              <w:tabs>
                <w:tab w:val="left" w:pos="-48"/>
                <w:tab w:val="left" w:pos="4320"/>
              </w:tabs>
              <w:snapToGrid w:val="0"/>
              <w:ind w:right="-133" w:hanging="48"/>
              <w:rPr>
                <w:color w:val="000000"/>
                <w:sz w:val="24"/>
              </w:rPr>
            </w:pPr>
            <w:r>
              <w:rPr>
                <w:color w:val="000000"/>
                <w:sz w:val="24"/>
              </w:rPr>
              <w:t>原值：</w:t>
            </w:r>
          </w:p>
          <w:p>
            <w:pPr>
              <w:tabs>
                <w:tab w:val="left" w:pos="-48"/>
                <w:tab w:val="left" w:pos="4320"/>
              </w:tabs>
              <w:snapToGrid w:val="0"/>
              <w:ind w:hanging="48"/>
              <w:jc w:val="right"/>
              <w:rPr>
                <w:color w:val="000000"/>
                <w:sz w:val="24"/>
              </w:rPr>
            </w:pPr>
          </w:p>
          <w:p>
            <w:pPr>
              <w:tabs>
                <w:tab w:val="left" w:pos="-48"/>
                <w:tab w:val="left" w:pos="4320"/>
              </w:tabs>
              <w:snapToGrid w:val="0"/>
              <w:ind w:right="-133" w:hanging="48"/>
              <w:rPr>
                <w:color w:val="000000"/>
                <w:sz w:val="24"/>
              </w:rPr>
            </w:pPr>
            <w:r>
              <w:rPr>
                <w:color w:val="000000"/>
                <w:sz w:val="24"/>
              </w:rPr>
              <w:t>净值：</w:t>
            </w:r>
          </w:p>
          <w:p>
            <w:pPr>
              <w:tabs>
                <w:tab w:val="left" w:pos="-48"/>
                <w:tab w:val="left" w:pos="4320"/>
              </w:tabs>
              <w:snapToGrid w:val="0"/>
              <w:ind w:hanging="48"/>
              <w:jc w:val="right"/>
              <w:rPr>
                <w:color w:val="000000"/>
                <w:sz w:val="24"/>
              </w:rPr>
            </w:pPr>
          </w:p>
        </w:tc>
        <w:tc>
          <w:tcPr>
            <w:tcW w:w="567" w:type="dxa"/>
            <w:vMerge w:val="continue"/>
            <w:vAlign w:val="center"/>
          </w:tcPr>
          <w:p>
            <w:pPr>
              <w:tabs>
                <w:tab w:val="left" w:pos="4320"/>
              </w:tabs>
              <w:snapToGrid w:val="0"/>
              <w:rPr>
                <w:color w:val="000000"/>
                <w:sz w:val="24"/>
              </w:rPr>
            </w:pPr>
          </w:p>
        </w:tc>
        <w:tc>
          <w:tcPr>
            <w:tcW w:w="946" w:type="dxa"/>
            <w:vMerge w:val="continue"/>
            <w:vAlign w:val="center"/>
          </w:tcPr>
          <w:p>
            <w:pPr>
              <w:tabs>
                <w:tab w:val="left" w:pos="4320"/>
              </w:tabs>
              <w:snapToGrid w:val="0"/>
              <w:jc w:val="center"/>
              <w:rPr>
                <w:color w:val="000000"/>
                <w:sz w:val="24"/>
              </w:rPr>
            </w:pPr>
          </w:p>
        </w:tc>
        <w:tc>
          <w:tcPr>
            <w:tcW w:w="3727" w:type="dxa"/>
            <w:gridSpan w:val="4"/>
            <w:tcBorders>
              <w:right w:val="double" w:color="auto" w:sz="4" w:space="0"/>
            </w:tcBorders>
            <w:vAlign w:val="center"/>
          </w:tcPr>
          <w:p>
            <w:pPr>
              <w:tabs>
                <w:tab w:val="left" w:pos="4320"/>
              </w:tabs>
              <w:snapToGrid w:val="0"/>
              <w:rPr>
                <w:color w:val="000000"/>
                <w:sz w:val="24"/>
              </w:rPr>
            </w:pPr>
            <w:r>
              <w:rPr>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ind w:left="266" w:hanging="266" w:hangingChars="111"/>
              <w:rPr>
                <w:color w:val="000000"/>
                <w:sz w:val="24"/>
              </w:rPr>
            </w:pPr>
          </w:p>
        </w:tc>
        <w:tc>
          <w:tcPr>
            <w:tcW w:w="1276" w:type="dxa"/>
            <w:vAlign w:val="center"/>
          </w:tcPr>
          <w:p>
            <w:pPr>
              <w:tabs>
                <w:tab w:val="left" w:pos="4320"/>
              </w:tabs>
              <w:snapToGrid w:val="0"/>
              <w:jc w:val="center"/>
              <w:rPr>
                <w:color w:val="000000"/>
                <w:sz w:val="24"/>
              </w:rPr>
            </w:pPr>
            <w:r>
              <w:rPr>
                <w:color w:val="000000"/>
                <w:sz w:val="24"/>
              </w:rPr>
              <w:t>占地面积</w:t>
            </w:r>
          </w:p>
        </w:tc>
        <w:tc>
          <w:tcPr>
            <w:tcW w:w="1422" w:type="dxa"/>
            <w:vAlign w:val="center"/>
          </w:tcPr>
          <w:p>
            <w:pPr>
              <w:tabs>
                <w:tab w:val="left" w:pos="4320"/>
              </w:tabs>
              <w:snapToGrid w:val="0"/>
              <w:jc w:val="right"/>
              <w:rPr>
                <w:color w:val="000000"/>
                <w:sz w:val="24"/>
              </w:rPr>
            </w:pPr>
            <w:r>
              <w:rPr>
                <w:color w:val="000000"/>
                <w:sz w:val="24"/>
              </w:rPr>
              <w:t>M</w:t>
            </w:r>
            <w:r>
              <w:rPr>
                <w:color w:val="000000"/>
                <w:sz w:val="24"/>
                <w:vertAlign w:val="superscript"/>
              </w:rPr>
              <w:t>2</w:t>
            </w:r>
          </w:p>
        </w:tc>
        <w:tc>
          <w:tcPr>
            <w:tcW w:w="567" w:type="dxa"/>
            <w:vMerge w:val="continue"/>
            <w:vAlign w:val="center"/>
          </w:tcPr>
          <w:p>
            <w:pPr>
              <w:tabs>
                <w:tab w:val="left" w:pos="4320"/>
              </w:tabs>
              <w:snapToGrid w:val="0"/>
              <w:rPr>
                <w:color w:val="000000"/>
                <w:sz w:val="24"/>
              </w:rPr>
            </w:pPr>
          </w:p>
        </w:tc>
        <w:tc>
          <w:tcPr>
            <w:tcW w:w="946" w:type="dxa"/>
            <w:vMerge w:val="continue"/>
            <w:vAlign w:val="center"/>
          </w:tcPr>
          <w:p>
            <w:pPr>
              <w:tabs>
                <w:tab w:val="left" w:pos="4320"/>
              </w:tabs>
              <w:snapToGrid w:val="0"/>
              <w:jc w:val="center"/>
              <w:rPr>
                <w:color w:val="000000"/>
                <w:sz w:val="24"/>
              </w:rPr>
            </w:pPr>
          </w:p>
        </w:tc>
        <w:tc>
          <w:tcPr>
            <w:tcW w:w="3727" w:type="dxa"/>
            <w:gridSpan w:val="4"/>
            <w:tcBorders>
              <w:right w:val="double" w:color="auto" w:sz="4" w:space="0"/>
            </w:tcBorders>
            <w:vAlign w:val="center"/>
          </w:tcPr>
          <w:p>
            <w:pPr>
              <w:tabs>
                <w:tab w:val="left" w:pos="4320"/>
              </w:tabs>
              <w:snapToGrid w:val="0"/>
              <w:spacing w:before="120" w:after="120"/>
              <w:rPr>
                <w:color w:val="000000"/>
                <w:sz w:val="24"/>
              </w:rPr>
            </w:pPr>
            <w:r>
              <w:rPr>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restart"/>
            <w:tcBorders>
              <w:left w:val="double" w:color="auto" w:sz="4" w:space="0"/>
            </w:tcBorders>
            <w:tcMar>
              <w:left w:w="57" w:type="dxa"/>
              <w:right w:w="57" w:type="dxa"/>
            </w:tcMar>
            <w:vAlign w:val="center"/>
          </w:tcPr>
          <w:p>
            <w:pPr>
              <w:tabs>
                <w:tab w:val="left" w:pos="4320"/>
              </w:tabs>
              <w:jc w:val="center"/>
              <w:rPr>
                <w:color w:val="000000"/>
                <w:sz w:val="24"/>
              </w:rPr>
            </w:pPr>
            <w:r>
              <w:rPr>
                <w:color w:val="000000"/>
                <w:sz w:val="24"/>
              </w:rPr>
              <w:t>企业产品</w:t>
            </w:r>
          </w:p>
        </w:tc>
        <w:tc>
          <w:tcPr>
            <w:tcW w:w="1276" w:type="dxa"/>
            <w:vAlign w:val="center"/>
          </w:tcPr>
          <w:p>
            <w:pPr>
              <w:tabs>
                <w:tab w:val="left" w:pos="4320"/>
              </w:tabs>
              <w:spacing w:before="60" w:after="60"/>
              <w:jc w:val="center"/>
              <w:rPr>
                <w:color w:val="000000"/>
                <w:sz w:val="24"/>
              </w:rPr>
            </w:pPr>
            <w:r>
              <w:rPr>
                <w:color w:val="000000"/>
                <w:sz w:val="24"/>
              </w:rPr>
              <w:t>货物名称</w:t>
            </w:r>
          </w:p>
        </w:tc>
        <w:tc>
          <w:tcPr>
            <w:tcW w:w="1422" w:type="dxa"/>
            <w:vAlign w:val="center"/>
          </w:tcPr>
          <w:p>
            <w:pPr>
              <w:tabs>
                <w:tab w:val="left" w:pos="4320"/>
              </w:tabs>
              <w:spacing w:before="60" w:after="60"/>
              <w:jc w:val="center"/>
              <w:rPr>
                <w:color w:val="000000"/>
                <w:sz w:val="24"/>
              </w:rPr>
            </w:pPr>
            <w:r>
              <w:rPr>
                <w:color w:val="000000"/>
                <w:sz w:val="24"/>
              </w:rPr>
              <w:t>规格</w:t>
            </w:r>
          </w:p>
        </w:tc>
        <w:tc>
          <w:tcPr>
            <w:tcW w:w="1513" w:type="dxa"/>
            <w:gridSpan w:val="2"/>
            <w:vAlign w:val="center"/>
          </w:tcPr>
          <w:p>
            <w:pPr>
              <w:tabs>
                <w:tab w:val="left" w:pos="4320"/>
              </w:tabs>
              <w:spacing w:before="60" w:after="60"/>
              <w:jc w:val="center"/>
              <w:rPr>
                <w:color w:val="000000"/>
                <w:sz w:val="24"/>
              </w:rPr>
            </w:pPr>
            <w:r>
              <w:rPr>
                <w:color w:val="000000"/>
                <w:sz w:val="24"/>
              </w:rPr>
              <w:t>型号</w:t>
            </w:r>
          </w:p>
        </w:tc>
        <w:tc>
          <w:tcPr>
            <w:tcW w:w="1263" w:type="dxa"/>
            <w:vAlign w:val="center"/>
          </w:tcPr>
          <w:p>
            <w:pPr>
              <w:tabs>
                <w:tab w:val="left" w:pos="4320"/>
              </w:tabs>
              <w:spacing w:before="60" w:after="60"/>
              <w:jc w:val="center"/>
              <w:rPr>
                <w:color w:val="000000"/>
                <w:sz w:val="24"/>
              </w:rPr>
            </w:pPr>
            <w:r>
              <w:rPr>
                <w:color w:val="000000"/>
                <w:sz w:val="24"/>
              </w:rPr>
              <w:t>年产量</w:t>
            </w:r>
          </w:p>
        </w:tc>
        <w:tc>
          <w:tcPr>
            <w:tcW w:w="2464" w:type="dxa"/>
            <w:gridSpan w:val="3"/>
            <w:tcBorders>
              <w:right w:val="double" w:color="auto" w:sz="4" w:space="0"/>
            </w:tcBorders>
            <w:vAlign w:val="center"/>
          </w:tcPr>
          <w:p>
            <w:pPr>
              <w:tabs>
                <w:tab w:val="left" w:pos="4320"/>
              </w:tabs>
              <w:spacing w:before="60" w:after="60"/>
              <w:jc w:val="center"/>
              <w:rPr>
                <w:color w:val="000000"/>
                <w:sz w:val="24"/>
              </w:rPr>
            </w:pPr>
            <w:r>
              <w:rPr>
                <w:color w:val="000000"/>
                <w:sz w:val="24"/>
              </w:rPr>
              <w:t>产品性能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continue"/>
            <w:tcBorders>
              <w:left w:val="double" w:color="auto" w:sz="4" w:space="0"/>
            </w:tcBorders>
            <w:vAlign w:val="center"/>
          </w:tcPr>
          <w:p>
            <w:pPr>
              <w:tabs>
                <w:tab w:val="left" w:pos="4320"/>
              </w:tabs>
              <w:snapToGrid w:val="0"/>
              <w:rPr>
                <w:color w:val="000000"/>
                <w:sz w:val="24"/>
              </w:rPr>
            </w:pPr>
          </w:p>
        </w:tc>
        <w:tc>
          <w:tcPr>
            <w:tcW w:w="1276" w:type="dxa"/>
            <w:vAlign w:val="center"/>
          </w:tcPr>
          <w:p>
            <w:pPr>
              <w:tabs>
                <w:tab w:val="left" w:pos="4320"/>
              </w:tabs>
              <w:snapToGrid w:val="0"/>
              <w:rPr>
                <w:color w:val="000000"/>
                <w:sz w:val="24"/>
              </w:rPr>
            </w:pPr>
          </w:p>
        </w:tc>
        <w:tc>
          <w:tcPr>
            <w:tcW w:w="1422" w:type="dxa"/>
            <w:vAlign w:val="center"/>
          </w:tcPr>
          <w:p>
            <w:pPr>
              <w:tabs>
                <w:tab w:val="left" w:pos="4320"/>
              </w:tabs>
              <w:snapToGrid w:val="0"/>
              <w:rPr>
                <w:color w:val="000000"/>
                <w:sz w:val="24"/>
              </w:rPr>
            </w:pPr>
          </w:p>
        </w:tc>
        <w:tc>
          <w:tcPr>
            <w:tcW w:w="1513" w:type="dxa"/>
            <w:gridSpan w:val="2"/>
            <w:vAlign w:val="center"/>
          </w:tcPr>
          <w:p>
            <w:pPr>
              <w:tabs>
                <w:tab w:val="left" w:pos="4320"/>
              </w:tabs>
              <w:snapToGrid w:val="0"/>
              <w:rPr>
                <w:color w:val="000000"/>
                <w:sz w:val="24"/>
              </w:rPr>
            </w:pPr>
          </w:p>
        </w:tc>
        <w:tc>
          <w:tcPr>
            <w:tcW w:w="1263" w:type="dxa"/>
            <w:vAlign w:val="center"/>
          </w:tcPr>
          <w:p>
            <w:pPr>
              <w:tabs>
                <w:tab w:val="left" w:pos="4320"/>
              </w:tabs>
              <w:snapToGrid w:val="0"/>
              <w:rPr>
                <w:color w:val="000000"/>
                <w:sz w:val="24"/>
              </w:rPr>
            </w:pPr>
          </w:p>
        </w:tc>
        <w:tc>
          <w:tcPr>
            <w:tcW w:w="2464" w:type="dxa"/>
            <w:gridSpan w:val="3"/>
            <w:tcBorders>
              <w:right w:val="double" w:color="auto" w:sz="4" w:space="0"/>
            </w:tcBorders>
            <w:vAlign w:val="center"/>
          </w:tcPr>
          <w:p>
            <w:pPr>
              <w:tabs>
                <w:tab w:val="left" w:pos="4320"/>
              </w:tabs>
              <w:snapToGrid w:val="0"/>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09" w:type="dxa"/>
            <w:vMerge w:val="restart"/>
            <w:tcBorders>
              <w:left w:val="double" w:color="auto" w:sz="4" w:space="0"/>
            </w:tcBorders>
            <w:vAlign w:val="center"/>
          </w:tcPr>
          <w:p>
            <w:pPr>
              <w:tabs>
                <w:tab w:val="left" w:pos="4320"/>
              </w:tabs>
              <w:snapToGrid w:val="0"/>
              <w:rPr>
                <w:color w:val="000000"/>
                <w:sz w:val="24"/>
              </w:rPr>
            </w:pPr>
            <w:r>
              <w:rPr>
                <w:color w:val="000000"/>
                <w:sz w:val="24"/>
              </w:rPr>
              <w:t>其它</w:t>
            </w:r>
          </w:p>
        </w:tc>
        <w:tc>
          <w:tcPr>
            <w:tcW w:w="4211" w:type="dxa"/>
            <w:gridSpan w:val="4"/>
            <w:vAlign w:val="center"/>
          </w:tcPr>
          <w:p>
            <w:pPr>
              <w:tabs>
                <w:tab w:val="left" w:pos="4320"/>
              </w:tabs>
              <w:snapToGrid w:val="0"/>
              <w:spacing w:before="60" w:after="60"/>
              <w:rPr>
                <w:color w:val="000000"/>
                <w:sz w:val="24"/>
              </w:rPr>
            </w:pPr>
            <w:r>
              <w:rPr>
                <w:color w:val="000000"/>
                <w:sz w:val="24"/>
              </w:rPr>
              <w:t>近3年完成及正在执行的合同中发生的由于供应商违约或部分违约而引起诉讼和受到索赔的案件具体情况及结果（须如实填写，若对此进行隐瞒，尔后又被采购人或采购代理机构发现，或被它人举证成立，其投标资格将被取消）。</w:t>
            </w:r>
          </w:p>
        </w:tc>
        <w:tc>
          <w:tcPr>
            <w:tcW w:w="3727" w:type="dxa"/>
            <w:gridSpan w:val="4"/>
            <w:tcBorders>
              <w:right w:val="double" w:color="auto" w:sz="4" w:space="0"/>
            </w:tcBorders>
            <w:vAlign w:val="center"/>
          </w:tcPr>
          <w:p>
            <w:pPr>
              <w:tabs>
                <w:tab w:val="left" w:pos="4320"/>
              </w:tabs>
              <w:snapToGrid w:val="0"/>
              <w:spacing w:before="60" w:after="60"/>
              <w:rPr>
                <w:color w:val="000000"/>
                <w:sz w:val="24"/>
              </w:rPr>
            </w:pPr>
            <w:r>
              <w:rPr>
                <w:color w:val="000000"/>
                <w:sz w:val="24"/>
              </w:rPr>
              <w:t>如有名称变更（非因该单位出现了与资格预审（如果经此程序）时的营业性质的根本改变以至不再满足本次磋商的要求），说明原名称因何种原因变更为现名称，并提供由工商管理部门出具的变更证明文件。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709" w:type="dxa"/>
            <w:vMerge w:val="continue"/>
            <w:tcBorders>
              <w:left w:val="double" w:color="auto" w:sz="4" w:space="0"/>
              <w:bottom w:val="double" w:color="auto" w:sz="4" w:space="0"/>
            </w:tcBorders>
            <w:vAlign w:val="center"/>
          </w:tcPr>
          <w:p>
            <w:pPr>
              <w:tabs>
                <w:tab w:val="left" w:pos="4320"/>
              </w:tabs>
              <w:snapToGrid w:val="0"/>
              <w:rPr>
                <w:color w:val="000000"/>
                <w:sz w:val="24"/>
              </w:rPr>
            </w:pPr>
          </w:p>
        </w:tc>
        <w:tc>
          <w:tcPr>
            <w:tcW w:w="4211" w:type="dxa"/>
            <w:gridSpan w:val="4"/>
            <w:tcBorders>
              <w:bottom w:val="double" w:color="auto" w:sz="4" w:space="0"/>
            </w:tcBorders>
            <w:vAlign w:val="center"/>
          </w:tcPr>
          <w:p>
            <w:pPr>
              <w:tabs>
                <w:tab w:val="left" w:pos="4320"/>
              </w:tabs>
              <w:snapToGrid w:val="0"/>
              <w:rPr>
                <w:color w:val="000000"/>
                <w:sz w:val="24"/>
              </w:rPr>
            </w:pPr>
          </w:p>
        </w:tc>
        <w:tc>
          <w:tcPr>
            <w:tcW w:w="3727" w:type="dxa"/>
            <w:gridSpan w:val="4"/>
            <w:tcBorders>
              <w:bottom w:val="double" w:color="auto" w:sz="4" w:space="0"/>
              <w:right w:val="double" w:color="auto" w:sz="4" w:space="0"/>
            </w:tcBorders>
            <w:vAlign w:val="center"/>
          </w:tcPr>
          <w:p>
            <w:pPr>
              <w:tabs>
                <w:tab w:val="left" w:pos="4320"/>
              </w:tabs>
              <w:snapToGrid w:val="0"/>
              <w:rPr>
                <w:color w:val="000000"/>
                <w:sz w:val="24"/>
              </w:rPr>
            </w:pPr>
          </w:p>
        </w:tc>
      </w:tr>
    </w:tbl>
    <w:p>
      <w:pPr>
        <w:snapToGrid w:val="0"/>
        <w:rPr>
          <w:color w:val="000000"/>
        </w:rPr>
      </w:pPr>
    </w:p>
    <w:p>
      <w:pPr>
        <w:snapToGrid w:val="0"/>
        <w:spacing w:line="420" w:lineRule="exact"/>
        <w:jc w:val="center"/>
        <w:rPr>
          <w:b/>
          <w:bCs/>
          <w:sz w:val="24"/>
        </w:rPr>
      </w:pPr>
      <w:r>
        <w:rPr>
          <w:color w:val="000000"/>
        </w:rPr>
        <w:br w:type="page"/>
      </w:r>
      <w:r>
        <w:rPr>
          <w:b/>
          <w:color w:val="000000"/>
          <w:sz w:val="24"/>
        </w:rPr>
        <w:t>8、</w:t>
      </w:r>
      <w:r>
        <w:rPr>
          <w:b/>
          <w:bCs/>
          <w:sz w:val="24"/>
        </w:rPr>
        <w:t>技术商务部分正负偏离表</w:t>
      </w:r>
    </w:p>
    <w:p>
      <w:pPr>
        <w:snapToGrid w:val="0"/>
        <w:ind w:firstLine="480" w:firstLineChars="200"/>
        <w:jc w:val="center"/>
        <w:rPr>
          <w:sz w:val="24"/>
        </w:rPr>
      </w:pPr>
      <w:r>
        <w:rPr>
          <w:sz w:val="24"/>
        </w:rPr>
        <w:t>（由供应商据实提交，表格不够自行添加）</w:t>
      </w:r>
    </w:p>
    <w:p>
      <w:pPr>
        <w:snapToGrid w:val="0"/>
        <w:spacing w:line="320" w:lineRule="exact"/>
        <w:rPr>
          <w:sz w:val="24"/>
        </w:rPr>
      </w:pPr>
      <w:r>
        <w:rPr>
          <w:color w:val="000000"/>
          <w:sz w:val="24"/>
        </w:rPr>
        <w:t xml:space="preserve">投标人全称（加盖公章）： </w:t>
      </w:r>
    </w:p>
    <w:p>
      <w:pPr>
        <w:snapToGrid w:val="0"/>
        <w:spacing w:line="320" w:lineRule="exact"/>
        <w:rPr>
          <w:sz w:val="24"/>
          <w:u w:val="single"/>
        </w:rPr>
      </w:pPr>
      <w:r>
        <w:rPr>
          <w:sz w:val="24"/>
        </w:rPr>
        <w:t>项目名称：</w:t>
      </w:r>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序号</w:t>
            </w:r>
          </w:p>
        </w:tc>
        <w:tc>
          <w:tcPr>
            <w:tcW w:w="1263" w:type="dxa"/>
            <w:tcBorders>
              <w:top w:val="single" w:color="auto" w:sz="12" w:space="0"/>
              <w:left w:val="single" w:color="auto" w:sz="6" w:space="0"/>
              <w:bottom w:val="single" w:color="auto" w:sz="6" w:space="0"/>
              <w:right w:val="single" w:color="auto" w:sz="6" w:space="0"/>
            </w:tcBorders>
            <w:vAlign w:val="center"/>
          </w:tcPr>
          <w:p>
            <w:pPr>
              <w:snapToGrid w:val="0"/>
              <w:spacing w:line="340" w:lineRule="exact"/>
              <w:jc w:val="center"/>
              <w:rPr>
                <w:sz w:val="24"/>
              </w:rPr>
            </w:pPr>
            <w:r>
              <w:rPr>
                <w:sz w:val="24"/>
              </w:rPr>
              <w:t>项目</w:t>
            </w:r>
          </w:p>
        </w:tc>
        <w:tc>
          <w:tcPr>
            <w:tcW w:w="2706" w:type="dxa"/>
            <w:tcBorders>
              <w:top w:val="single" w:color="auto" w:sz="12" w:space="0"/>
              <w:left w:val="single" w:color="auto" w:sz="6" w:space="0"/>
              <w:bottom w:val="single" w:color="auto" w:sz="6" w:space="0"/>
              <w:right w:val="single" w:color="auto" w:sz="6" w:space="0"/>
            </w:tcBorders>
            <w:vAlign w:val="center"/>
          </w:tcPr>
          <w:p>
            <w:pPr>
              <w:snapToGrid w:val="0"/>
              <w:spacing w:line="340" w:lineRule="exact"/>
              <w:jc w:val="center"/>
              <w:rPr>
                <w:sz w:val="24"/>
              </w:rPr>
            </w:pPr>
            <w:r>
              <w:rPr>
                <w:sz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napToGrid w:val="0"/>
              <w:spacing w:line="340" w:lineRule="exact"/>
              <w:jc w:val="center"/>
              <w:rPr>
                <w:sz w:val="24"/>
              </w:rPr>
            </w:pPr>
            <w:r>
              <w:rPr>
                <w:sz w:val="24"/>
              </w:rPr>
              <w:t>响应文件响应情况</w:t>
            </w:r>
          </w:p>
        </w:tc>
        <w:tc>
          <w:tcPr>
            <w:tcW w:w="1701" w:type="dxa"/>
            <w:tcBorders>
              <w:top w:val="single" w:color="auto" w:sz="12" w:space="0"/>
              <w:left w:val="single" w:color="auto" w:sz="6" w:space="0"/>
              <w:bottom w:val="single" w:color="auto" w:sz="6" w:space="0"/>
              <w:right w:val="single" w:color="auto" w:sz="12" w:space="0"/>
            </w:tcBorders>
            <w:vAlign w:val="center"/>
          </w:tcPr>
          <w:p>
            <w:pPr>
              <w:snapToGrid w:val="0"/>
              <w:spacing w:line="340" w:lineRule="exact"/>
              <w:jc w:val="center"/>
              <w:rPr>
                <w:sz w:val="24"/>
              </w:rPr>
            </w:pPr>
            <w:r>
              <w:rPr>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1</w:t>
            </w: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2</w:t>
            </w: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r>
              <w:rPr>
                <w:sz w:val="24"/>
              </w:rPr>
              <w:t>3</w:t>
            </w: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ind w:firstLine="480" w:firstLineChars="200"/>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649" w:type="dxa"/>
            <w:tcBorders>
              <w:top w:val="single" w:color="auto" w:sz="6" w:space="0"/>
              <w:left w:val="single" w:color="auto" w:sz="12" w:space="0"/>
              <w:bottom w:val="single" w:color="auto" w:sz="6" w:space="0"/>
              <w:right w:val="single" w:color="auto" w:sz="6" w:space="0"/>
            </w:tcBorders>
            <w:vAlign w:val="center"/>
          </w:tcPr>
          <w:p>
            <w:pPr>
              <w:snapToGrid w:val="0"/>
              <w:spacing w:line="340" w:lineRule="exact"/>
              <w:jc w:val="center"/>
              <w:rPr>
                <w:sz w:val="24"/>
              </w:rPr>
            </w:pPr>
          </w:p>
        </w:tc>
        <w:tc>
          <w:tcPr>
            <w:tcW w:w="1263"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6"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6" w:space="0"/>
              <w:right w:val="single" w:color="auto" w:sz="12" w:space="0"/>
            </w:tcBorders>
            <w:vAlign w:val="center"/>
          </w:tcPr>
          <w:p>
            <w:pPr>
              <w:snapToGrid w:val="0"/>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649" w:type="dxa"/>
            <w:tcBorders>
              <w:top w:val="single" w:color="auto" w:sz="6" w:space="0"/>
              <w:left w:val="single" w:color="auto" w:sz="12" w:space="0"/>
              <w:bottom w:val="single" w:color="auto" w:sz="12" w:space="0"/>
              <w:right w:val="single" w:color="auto" w:sz="6" w:space="0"/>
            </w:tcBorders>
            <w:vAlign w:val="center"/>
          </w:tcPr>
          <w:p>
            <w:pPr>
              <w:snapToGrid w:val="0"/>
              <w:spacing w:line="340" w:lineRule="exact"/>
              <w:jc w:val="center"/>
              <w:rPr>
                <w:sz w:val="24"/>
              </w:rPr>
            </w:pPr>
          </w:p>
        </w:tc>
        <w:tc>
          <w:tcPr>
            <w:tcW w:w="1263" w:type="dxa"/>
            <w:tcBorders>
              <w:top w:val="single" w:color="auto" w:sz="6" w:space="0"/>
              <w:left w:val="single" w:color="auto" w:sz="6" w:space="0"/>
              <w:bottom w:val="single" w:color="auto" w:sz="12" w:space="0"/>
              <w:right w:val="single" w:color="auto" w:sz="6" w:space="0"/>
            </w:tcBorders>
            <w:vAlign w:val="center"/>
          </w:tcPr>
          <w:p>
            <w:pPr>
              <w:snapToGrid w:val="0"/>
              <w:spacing w:line="340" w:lineRule="exact"/>
              <w:jc w:val="center"/>
              <w:rPr>
                <w:sz w:val="24"/>
              </w:rPr>
            </w:pPr>
          </w:p>
        </w:tc>
        <w:tc>
          <w:tcPr>
            <w:tcW w:w="2706" w:type="dxa"/>
            <w:tcBorders>
              <w:top w:val="single" w:color="auto" w:sz="6" w:space="0"/>
              <w:left w:val="single" w:color="auto" w:sz="6" w:space="0"/>
              <w:bottom w:val="single" w:color="auto" w:sz="12" w:space="0"/>
              <w:right w:val="single" w:color="auto" w:sz="6" w:space="0"/>
            </w:tcBorders>
            <w:vAlign w:val="center"/>
          </w:tcPr>
          <w:p>
            <w:pPr>
              <w:snapToGrid w:val="0"/>
              <w:spacing w:line="340" w:lineRule="exact"/>
              <w:jc w:val="center"/>
              <w:rPr>
                <w:sz w:val="24"/>
              </w:rPr>
            </w:pPr>
          </w:p>
        </w:tc>
        <w:tc>
          <w:tcPr>
            <w:tcW w:w="2720" w:type="dxa"/>
            <w:tcBorders>
              <w:top w:val="single" w:color="auto" w:sz="6" w:space="0"/>
              <w:left w:val="single" w:color="auto" w:sz="6" w:space="0"/>
              <w:bottom w:val="single" w:color="auto" w:sz="12" w:space="0"/>
              <w:right w:val="single" w:color="auto" w:sz="6" w:space="0"/>
            </w:tcBorders>
            <w:vAlign w:val="center"/>
          </w:tcPr>
          <w:p>
            <w:pPr>
              <w:snapToGrid w:val="0"/>
              <w:spacing w:line="340" w:lineRule="exact"/>
              <w:jc w:val="center"/>
              <w:rPr>
                <w:sz w:val="24"/>
              </w:rPr>
            </w:pPr>
          </w:p>
        </w:tc>
        <w:tc>
          <w:tcPr>
            <w:tcW w:w="1701" w:type="dxa"/>
            <w:tcBorders>
              <w:top w:val="single" w:color="auto" w:sz="6" w:space="0"/>
              <w:left w:val="single" w:color="auto" w:sz="6" w:space="0"/>
              <w:bottom w:val="single" w:color="auto" w:sz="12" w:space="0"/>
              <w:right w:val="single" w:color="auto" w:sz="12" w:space="0"/>
            </w:tcBorders>
            <w:vAlign w:val="center"/>
          </w:tcPr>
          <w:p>
            <w:pPr>
              <w:snapToGrid w:val="0"/>
              <w:spacing w:line="340" w:lineRule="exact"/>
              <w:jc w:val="center"/>
              <w:rPr>
                <w:sz w:val="24"/>
              </w:rPr>
            </w:pPr>
          </w:p>
        </w:tc>
      </w:tr>
    </w:tbl>
    <w:p>
      <w:pPr>
        <w:snapToGrid w:val="0"/>
        <w:spacing w:line="260" w:lineRule="exact"/>
        <w:rPr>
          <w:sz w:val="24"/>
          <w:u w:val="single"/>
        </w:rPr>
      </w:pPr>
    </w:p>
    <w:p>
      <w:pPr>
        <w:snapToGrid w:val="0"/>
        <w:spacing w:line="300" w:lineRule="auto"/>
        <w:contextualSpacing/>
        <w:rPr>
          <w:b/>
          <w:sz w:val="24"/>
        </w:rPr>
      </w:pPr>
      <w:r>
        <w:rPr>
          <w:b/>
          <w:sz w:val="24"/>
        </w:rPr>
        <w:t>注：</w:t>
      </w:r>
    </w:p>
    <w:p>
      <w:pPr>
        <w:snapToGrid w:val="0"/>
        <w:spacing w:line="300" w:lineRule="auto"/>
        <w:ind w:firstLine="480" w:firstLineChars="200"/>
        <w:contextualSpacing/>
        <w:rPr>
          <w:sz w:val="24"/>
        </w:rPr>
      </w:pPr>
      <w:r>
        <w:rPr>
          <w:sz w:val="24"/>
        </w:rPr>
        <w:t>1</w:t>
      </w:r>
      <w:r>
        <w:rPr>
          <w:b/>
          <w:sz w:val="24"/>
        </w:rPr>
        <w:t>、</w:t>
      </w:r>
      <w:r>
        <w:rPr>
          <w:sz w:val="24"/>
        </w:rPr>
        <w:t>供应商提交的响应文件中与磋商文件第三部分“项目需求说明”中的商务、技术部分的要求有不同时，应逐条填列在偏离表中，否则将认为供应商接受磋商文件的所有要求。</w:t>
      </w:r>
    </w:p>
    <w:p>
      <w:pPr>
        <w:snapToGrid w:val="0"/>
        <w:spacing w:line="300" w:lineRule="auto"/>
        <w:ind w:firstLine="480" w:firstLineChars="200"/>
        <w:contextualSpacing/>
        <w:rPr>
          <w:sz w:val="24"/>
        </w:rPr>
      </w:pPr>
      <w:r>
        <w:rPr>
          <w:sz w:val="24"/>
        </w:rPr>
        <w:t>2、“偏离说明”一栏选择“正偏离”、“负偏离”进行填写。正偏离的确认和负偏离的是否响应磋商文件，经三分之二评委认定。</w:t>
      </w:r>
    </w:p>
    <w:p>
      <w:pPr>
        <w:snapToGrid w:val="0"/>
        <w:spacing w:line="300" w:lineRule="auto"/>
        <w:ind w:firstLine="480" w:firstLineChars="200"/>
        <w:contextualSpacing/>
        <w:rPr>
          <w:sz w:val="24"/>
        </w:rPr>
      </w:pPr>
      <w:r>
        <w:rPr>
          <w:sz w:val="24"/>
        </w:rPr>
        <w:t>3、供应商如果虚假响应，将承担有关责任及风险。</w:t>
      </w:r>
    </w:p>
    <w:p>
      <w:pPr>
        <w:snapToGrid w:val="0"/>
        <w:spacing w:line="300" w:lineRule="auto"/>
        <w:ind w:firstLine="480" w:firstLineChars="200"/>
        <w:contextualSpacing/>
        <w:rPr>
          <w:sz w:val="24"/>
        </w:rPr>
      </w:pPr>
      <w:r>
        <w:rPr>
          <w:bCs/>
          <w:sz w:val="24"/>
        </w:rPr>
        <w:t>4、供应商若提供其他增值服务，可以在表中自行据实填写。</w:t>
      </w:r>
    </w:p>
    <w:p>
      <w:pPr>
        <w:snapToGrid w:val="0"/>
        <w:spacing w:line="420" w:lineRule="exact"/>
        <w:jc w:val="center"/>
        <w:rPr>
          <w:b/>
          <w:sz w:val="24"/>
        </w:rPr>
      </w:pPr>
      <w:r>
        <w:rPr>
          <w:color w:val="000000"/>
          <w:kern w:val="0"/>
          <w:sz w:val="24"/>
        </w:rPr>
        <w:br w:type="page"/>
      </w:r>
      <w:r>
        <w:rPr>
          <w:b/>
          <w:bCs/>
          <w:sz w:val="24"/>
        </w:rPr>
        <w:t>9、</w:t>
      </w:r>
      <w:r>
        <w:rPr>
          <w:b/>
          <w:sz w:val="24"/>
        </w:rPr>
        <w:t>磋商响应报价表</w:t>
      </w:r>
    </w:p>
    <w:p>
      <w:pPr>
        <w:pStyle w:val="36"/>
        <w:snapToGrid w:val="0"/>
        <w:ind w:firstLine="420"/>
      </w:pPr>
    </w:p>
    <w:tbl>
      <w:tblPr>
        <w:tblStyle w:val="3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szCs w:val="20"/>
              </w:rPr>
            </w:pPr>
            <w:r>
              <w:rPr>
                <w:sz w:val="24"/>
                <w:szCs w:val="20"/>
              </w:rPr>
              <w:t>项目编号</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szCs w:val="20"/>
              </w:rPr>
            </w:pPr>
            <w:r>
              <w:rPr>
                <w:color w:val="000000"/>
                <w:sz w:val="24"/>
              </w:rPr>
              <w:t>JSADTZC2021101G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szCs w:val="20"/>
              </w:rPr>
            </w:pPr>
            <w:r>
              <w:rPr>
                <w:sz w:val="24"/>
                <w:szCs w:val="20"/>
              </w:rPr>
              <w:t>项目名称</w:t>
            </w:r>
          </w:p>
        </w:tc>
        <w:tc>
          <w:tcPr>
            <w:tcW w:w="793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szCs w:val="20"/>
              </w:rPr>
            </w:pPr>
            <w:r>
              <w:rPr>
                <w:color w:val="000000"/>
                <w:sz w:val="24"/>
              </w:rPr>
              <w:t>南通市生态环境综合行政执法局便携式高分辨率VOCs气体检测仪及无人机采购项目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szCs w:val="20"/>
              </w:rPr>
            </w:pPr>
            <w:r>
              <w:rPr>
                <w:sz w:val="24"/>
                <w:szCs w:val="20"/>
              </w:rPr>
              <w:t>磋商报价总计</w:t>
            </w:r>
          </w:p>
          <w:p>
            <w:pPr>
              <w:snapToGrid w:val="0"/>
              <w:spacing w:line="360" w:lineRule="auto"/>
              <w:jc w:val="center"/>
              <w:rPr>
                <w:sz w:val="24"/>
                <w:szCs w:val="20"/>
              </w:rPr>
            </w:pPr>
            <w:r>
              <w:rPr>
                <w:sz w:val="24"/>
                <w:szCs w:val="20"/>
              </w:rPr>
              <w:t>（首次）</w:t>
            </w:r>
          </w:p>
        </w:tc>
        <w:tc>
          <w:tcPr>
            <w:tcW w:w="7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2880" w:hanging="2880" w:hangingChars="1200"/>
              <w:jc w:val="left"/>
              <w:rPr>
                <w:sz w:val="24"/>
                <w:szCs w:val="20"/>
              </w:rPr>
            </w:pPr>
            <w:r>
              <w:rPr>
                <w:rFonts w:hint="eastAsia"/>
                <w:color w:val="000000"/>
                <w:sz w:val="24"/>
              </w:rPr>
              <w:t>（1）</w:t>
            </w:r>
            <w:r>
              <w:rPr>
                <w:color w:val="000000"/>
                <w:sz w:val="24"/>
              </w:rPr>
              <w:t>便携式高分辨率VOCs气体检测仪</w:t>
            </w:r>
            <w:r>
              <w:rPr>
                <w:sz w:val="24"/>
                <w:szCs w:val="20"/>
                <w:u w:val="single"/>
              </w:rPr>
              <w:t xml:space="preserve">          </w:t>
            </w:r>
            <w:r>
              <w:rPr>
                <w:sz w:val="24"/>
                <w:szCs w:val="20"/>
              </w:rPr>
              <w:t>元/台，供货数量</w:t>
            </w:r>
            <w:r>
              <w:rPr>
                <w:sz w:val="24"/>
                <w:szCs w:val="20"/>
                <w:u w:val="single"/>
              </w:rPr>
              <w:t xml:space="preserve"> 4 </w:t>
            </w:r>
            <w:r>
              <w:rPr>
                <w:sz w:val="24"/>
                <w:szCs w:val="20"/>
              </w:rPr>
              <w:t>台</w:t>
            </w:r>
            <w:r>
              <w:rPr>
                <w:rFonts w:hint="eastAsia"/>
                <w:sz w:val="24"/>
                <w:szCs w:val="20"/>
              </w:rPr>
              <w:t>；</w:t>
            </w:r>
          </w:p>
          <w:p>
            <w:pPr>
              <w:pStyle w:val="2"/>
              <w:adjustRightInd w:val="0"/>
              <w:snapToGrid w:val="0"/>
              <w:spacing w:after="0" w:line="360" w:lineRule="auto"/>
              <w:ind w:left="0" w:leftChars="0" w:firstLine="0" w:firstLineChars="0"/>
              <w:jc w:val="left"/>
            </w:pPr>
            <w:r>
              <w:rPr>
                <w:rFonts w:hint="eastAsia"/>
                <w:color w:val="000000"/>
                <w:sz w:val="24"/>
              </w:rPr>
              <w:t>（2）</w:t>
            </w:r>
            <w:r>
              <w:rPr>
                <w:color w:val="000000"/>
                <w:sz w:val="24"/>
              </w:rPr>
              <w:t>无人机</w:t>
            </w:r>
            <w:r>
              <w:rPr>
                <w:sz w:val="24"/>
                <w:szCs w:val="20"/>
                <w:u w:val="single"/>
              </w:rPr>
              <w:t xml:space="preserve">          </w:t>
            </w:r>
            <w:r>
              <w:rPr>
                <w:sz w:val="24"/>
                <w:szCs w:val="20"/>
              </w:rPr>
              <w:t>元/台，供货数量</w:t>
            </w:r>
            <w:r>
              <w:rPr>
                <w:sz w:val="24"/>
                <w:szCs w:val="20"/>
                <w:u w:val="single"/>
              </w:rPr>
              <w:t xml:space="preserve"> </w:t>
            </w:r>
            <w:r>
              <w:rPr>
                <w:rFonts w:hint="eastAsia"/>
                <w:sz w:val="24"/>
                <w:szCs w:val="20"/>
                <w:u w:val="single"/>
              </w:rPr>
              <w:t>8</w:t>
            </w:r>
            <w:r>
              <w:rPr>
                <w:sz w:val="24"/>
                <w:szCs w:val="20"/>
                <w:u w:val="single"/>
              </w:rPr>
              <w:t xml:space="preserve"> </w:t>
            </w:r>
            <w:r>
              <w:rPr>
                <w:sz w:val="24"/>
                <w:szCs w:val="20"/>
              </w:rPr>
              <w:t>台</w:t>
            </w:r>
          </w:p>
          <w:p>
            <w:pPr>
              <w:adjustRightInd w:val="0"/>
              <w:snapToGrid w:val="0"/>
              <w:spacing w:line="360" w:lineRule="auto"/>
              <w:ind w:left="2880" w:hanging="2880" w:hangingChars="1200"/>
              <w:jc w:val="left"/>
              <w:rPr>
                <w:sz w:val="24"/>
                <w:szCs w:val="20"/>
              </w:rPr>
            </w:pPr>
            <w:r>
              <w:rPr>
                <w:sz w:val="24"/>
                <w:szCs w:val="20"/>
              </w:rPr>
              <w:t>合计金额：人民币（大写）：</w:t>
            </w:r>
            <w:r>
              <w:rPr>
                <w:sz w:val="24"/>
                <w:szCs w:val="20"/>
                <w:u w:val="single"/>
              </w:rPr>
              <w:t xml:space="preserve">                    </w:t>
            </w:r>
            <w:r>
              <w:rPr>
                <w:sz w:val="24"/>
                <w:szCs w:val="20"/>
              </w:rPr>
              <w:t>，¥</w:t>
            </w:r>
            <w:r>
              <w:rPr>
                <w:sz w:val="24"/>
                <w:szCs w:val="20"/>
                <w:u w:val="single"/>
              </w:rPr>
              <w:t xml:space="preserve">            </w:t>
            </w:r>
            <w:r>
              <w:rPr>
                <w:sz w:val="24"/>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szCs w:val="20"/>
              </w:rPr>
            </w:pPr>
            <w:r>
              <w:rPr>
                <w:sz w:val="24"/>
                <w:szCs w:val="20"/>
              </w:rPr>
              <w:t>磋商报价总计</w:t>
            </w:r>
          </w:p>
          <w:p>
            <w:pPr>
              <w:snapToGrid w:val="0"/>
              <w:spacing w:line="360" w:lineRule="auto"/>
              <w:jc w:val="center"/>
              <w:rPr>
                <w:sz w:val="24"/>
                <w:szCs w:val="20"/>
              </w:rPr>
            </w:pPr>
            <w:r>
              <w:rPr>
                <w:sz w:val="24"/>
                <w:szCs w:val="20"/>
              </w:rPr>
              <w:t>（二次）</w:t>
            </w:r>
          </w:p>
        </w:tc>
        <w:tc>
          <w:tcPr>
            <w:tcW w:w="7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2880" w:hanging="2880" w:hangingChars="1200"/>
              <w:jc w:val="left"/>
              <w:rPr>
                <w:sz w:val="24"/>
                <w:szCs w:val="20"/>
              </w:rPr>
            </w:pPr>
            <w:r>
              <w:rPr>
                <w:rFonts w:hint="eastAsia"/>
                <w:color w:val="000000"/>
                <w:sz w:val="24"/>
              </w:rPr>
              <w:t>（1）</w:t>
            </w:r>
            <w:r>
              <w:rPr>
                <w:color w:val="000000"/>
                <w:sz w:val="24"/>
              </w:rPr>
              <w:t>便携式高分辨率VOCs气体检测仪</w:t>
            </w:r>
            <w:r>
              <w:rPr>
                <w:sz w:val="24"/>
                <w:szCs w:val="20"/>
                <w:u w:val="single"/>
              </w:rPr>
              <w:t xml:space="preserve">          </w:t>
            </w:r>
            <w:r>
              <w:rPr>
                <w:sz w:val="24"/>
                <w:szCs w:val="20"/>
              </w:rPr>
              <w:t>元/台，供货数量</w:t>
            </w:r>
            <w:r>
              <w:rPr>
                <w:sz w:val="24"/>
                <w:szCs w:val="20"/>
                <w:u w:val="single"/>
              </w:rPr>
              <w:t xml:space="preserve"> 4 </w:t>
            </w:r>
            <w:r>
              <w:rPr>
                <w:sz w:val="24"/>
                <w:szCs w:val="20"/>
              </w:rPr>
              <w:t>台</w:t>
            </w:r>
            <w:r>
              <w:rPr>
                <w:rFonts w:hint="eastAsia"/>
                <w:sz w:val="24"/>
                <w:szCs w:val="20"/>
              </w:rPr>
              <w:t>；</w:t>
            </w:r>
          </w:p>
          <w:p>
            <w:pPr>
              <w:pStyle w:val="2"/>
              <w:adjustRightInd w:val="0"/>
              <w:snapToGrid w:val="0"/>
              <w:spacing w:after="0" w:line="360" w:lineRule="auto"/>
              <w:ind w:left="0" w:leftChars="0" w:firstLine="0" w:firstLineChars="0"/>
              <w:jc w:val="left"/>
            </w:pPr>
            <w:r>
              <w:rPr>
                <w:rFonts w:hint="eastAsia"/>
                <w:color w:val="000000"/>
                <w:sz w:val="24"/>
              </w:rPr>
              <w:t>（2）</w:t>
            </w:r>
            <w:r>
              <w:rPr>
                <w:color w:val="000000"/>
                <w:sz w:val="24"/>
              </w:rPr>
              <w:t>无人机</w:t>
            </w:r>
            <w:r>
              <w:rPr>
                <w:sz w:val="24"/>
                <w:szCs w:val="20"/>
                <w:u w:val="single"/>
              </w:rPr>
              <w:t xml:space="preserve">          </w:t>
            </w:r>
            <w:r>
              <w:rPr>
                <w:sz w:val="24"/>
                <w:szCs w:val="20"/>
              </w:rPr>
              <w:t>元/台，供货数量</w:t>
            </w:r>
            <w:r>
              <w:rPr>
                <w:sz w:val="24"/>
                <w:szCs w:val="20"/>
                <w:u w:val="single"/>
              </w:rPr>
              <w:t xml:space="preserve"> </w:t>
            </w:r>
            <w:r>
              <w:rPr>
                <w:rFonts w:hint="eastAsia"/>
                <w:sz w:val="24"/>
                <w:szCs w:val="20"/>
                <w:u w:val="single"/>
              </w:rPr>
              <w:t>8</w:t>
            </w:r>
            <w:r>
              <w:rPr>
                <w:sz w:val="24"/>
                <w:szCs w:val="20"/>
                <w:u w:val="single"/>
              </w:rPr>
              <w:t xml:space="preserve"> </w:t>
            </w:r>
            <w:r>
              <w:rPr>
                <w:sz w:val="24"/>
                <w:szCs w:val="20"/>
              </w:rPr>
              <w:t>台</w:t>
            </w:r>
          </w:p>
          <w:p>
            <w:pPr>
              <w:snapToGrid w:val="0"/>
              <w:spacing w:line="360" w:lineRule="auto"/>
              <w:ind w:left="2880" w:hanging="2880" w:hangingChars="1200"/>
              <w:rPr>
                <w:sz w:val="24"/>
                <w:szCs w:val="20"/>
              </w:rPr>
            </w:pPr>
            <w:r>
              <w:rPr>
                <w:sz w:val="24"/>
                <w:szCs w:val="20"/>
              </w:rPr>
              <w:t>合计金额：人民币（大写）：</w:t>
            </w:r>
            <w:r>
              <w:rPr>
                <w:sz w:val="24"/>
                <w:szCs w:val="20"/>
                <w:u w:val="single"/>
              </w:rPr>
              <w:t xml:space="preserve">                    </w:t>
            </w:r>
            <w:r>
              <w:rPr>
                <w:sz w:val="24"/>
                <w:szCs w:val="20"/>
              </w:rPr>
              <w:t>，¥</w:t>
            </w:r>
            <w:r>
              <w:rPr>
                <w:sz w:val="24"/>
                <w:szCs w:val="20"/>
                <w:u w:val="single"/>
              </w:rPr>
              <w:t xml:space="preserve">            </w:t>
            </w:r>
            <w:r>
              <w:rPr>
                <w:sz w:val="24"/>
                <w:szCs w:val="20"/>
              </w:rPr>
              <w:t>元。</w:t>
            </w:r>
          </w:p>
        </w:tc>
      </w:tr>
    </w:tbl>
    <w:p>
      <w:pPr>
        <w:kinsoku w:val="0"/>
        <w:topLinePunct/>
        <w:snapToGrid w:val="0"/>
        <w:spacing w:line="520" w:lineRule="exact"/>
        <w:rPr>
          <w:b/>
          <w:sz w:val="24"/>
        </w:rPr>
      </w:pPr>
    </w:p>
    <w:p>
      <w:pPr>
        <w:snapToGrid w:val="0"/>
        <w:spacing w:line="520" w:lineRule="exact"/>
        <w:jc w:val="right"/>
        <w:outlineLvl w:val="3"/>
        <w:rPr>
          <w:sz w:val="24"/>
        </w:rPr>
      </w:pPr>
    </w:p>
    <w:p>
      <w:pPr>
        <w:snapToGrid w:val="0"/>
        <w:spacing w:line="520" w:lineRule="exact"/>
        <w:jc w:val="right"/>
        <w:outlineLvl w:val="3"/>
        <w:rPr>
          <w:sz w:val="24"/>
        </w:rPr>
      </w:pPr>
      <w:r>
        <w:rPr>
          <w:sz w:val="24"/>
        </w:rPr>
        <w:t>供应商名称：</w:t>
      </w:r>
      <w:r>
        <w:rPr>
          <w:sz w:val="24"/>
          <w:u w:val="single"/>
        </w:rPr>
        <w:t xml:space="preserve">                    </w:t>
      </w:r>
      <w:r>
        <w:rPr>
          <w:sz w:val="24"/>
        </w:rPr>
        <w:t>（加盖公章）</w:t>
      </w:r>
    </w:p>
    <w:p>
      <w:pPr>
        <w:snapToGrid w:val="0"/>
        <w:spacing w:line="520" w:lineRule="exact"/>
        <w:jc w:val="right"/>
        <w:outlineLvl w:val="3"/>
        <w:rPr>
          <w:sz w:val="24"/>
        </w:rPr>
      </w:pPr>
      <w:r>
        <w:rPr>
          <w:sz w:val="24"/>
        </w:rPr>
        <w:t>法定代表人或被授权人：</w:t>
      </w:r>
      <w:r>
        <w:rPr>
          <w:sz w:val="24"/>
          <w:u w:val="single"/>
        </w:rPr>
        <w:t xml:space="preserve">        </w:t>
      </w:r>
      <w:r>
        <w:rPr>
          <w:sz w:val="24"/>
        </w:rPr>
        <w:t>（签字或盖章）</w:t>
      </w:r>
    </w:p>
    <w:p>
      <w:pPr>
        <w:kinsoku w:val="0"/>
        <w:topLinePunct/>
        <w:snapToGrid w:val="0"/>
        <w:spacing w:line="520" w:lineRule="exact"/>
        <w:ind w:firstLine="4080" w:firstLineChars="1700"/>
        <w:rPr>
          <w:sz w:val="24"/>
        </w:rPr>
      </w:pPr>
      <w:r>
        <w:rPr>
          <w:sz w:val="24"/>
        </w:rPr>
        <w:t>日期：</w:t>
      </w:r>
    </w:p>
    <w:p>
      <w:pPr>
        <w:kinsoku w:val="0"/>
        <w:topLinePunct/>
        <w:snapToGrid w:val="0"/>
        <w:spacing w:line="520" w:lineRule="exact"/>
        <w:rPr>
          <w:b/>
          <w:sz w:val="24"/>
        </w:rPr>
      </w:pPr>
      <w:r>
        <w:rPr>
          <w:b/>
          <w:sz w:val="24"/>
        </w:rPr>
        <w:t>注：</w:t>
      </w:r>
    </w:p>
    <w:p>
      <w:pPr>
        <w:numPr>
          <w:ilvl w:val="0"/>
          <w:numId w:val="5"/>
        </w:numPr>
        <w:kinsoku w:val="0"/>
        <w:topLinePunct/>
        <w:snapToGrid w:val="0"/>
        <w:spacing w:line="520" w:lineRule="exact"/>
        <w:rPr>
          <w:sz w:val="24"/>
        </w:rPr>
      </w:pPr>
      <w:r>
        <w:rPr>
          <w:sz w:val="24"/>
        </w:rPr>
        <w:t xml:space="preserve"> 本表为格式表，不得自行改动，必须提供。</w:t>
      </w:r>
    </w:p>
    <w:p>
      <w:pPr>
        <w:numPr>
          <w:ilvl w:val="0"/>
          <w:numId w:val="5"/>
        </w:numPr>
        <w:kinsoku w:val="0"/>
        <w:topLinePunct/>
        <w:snapToGrid w:val="0"/>
        <w:spacing w:line="520" w:lineRule="exact"/>
        <w:rPr>
          <w:sz w:val="24"/>
        </w:rPr>
      </w:pPr>
      <w:r>
        <w:rPr>
          <w:sz w:val="24"/>
        </w:rPr>
        <w:t>投标总报价（以人民币计价）应包括</w:t>
      </w:r>
      <w:r>
        <w:rPr>
          <w:color w:val="000000"/>
          <w:sz w:val="24"/>
        </w:rPr>
        <w:t>响应本项目</w:t>
      </w:r>
      <w:r>
        <w:rPr>
          <w:bCs/>
          <w:sz w:val="24"/>
        </w:rPr>
        <w:t>采购要求</w:t>
      </w:r>
      <w:r>
        <w:rPr>
          <w:sz w:val="24"/>
        </w:rPr>
        <w:t>的全部费用，包括</w:t>
      </w:r>
      <w:r>
        <w:rPr>
          <w:color w:val="000000"/>
          <w:sz w:val="24"/>
        </w:rPr>
        <w:t>所有设备、配套设施、各类辅助材料、包装、仓储、运输、保险、安装、调试、集成、保修期内备品备件、专用工具、伴随服务、人员培训，以及验收合格之前发生的所有含税费用。</w:t>
      </w:r>
      <w:r>
        <w:rPr>
          <w:bCs/>
          <w:sz w:val="24"/>
        </w:rPr>
        <w:t>即为完成本项目供货及响应磋商文件采购要求所发生的全部费用</w:t>
      </w:r>
      <w:r>
        <w:rPr>
          <w:sz w:val="24"/>
        </w:rPr>
        <w:t>，采购人不另行支付其它任何费用。</w:t>
      </w:r>
    </w:p>
    <w:p>
      <w:pPr>
        <w:numPr>
          <w:ilvl w:val="0"/>
          <w:numId w:val="5"/>
        </w:numPr>
        <w:kinsoku w:val="0"/>
        <w:topLinePunct/>
        <w:snapToGrid w:val="0"/>
        <w:spacing w:line="420" w:lineRule="exact"/>
        <w:jc w:val="center"/>
        <w:rPr>
          <w:color w:val="000000"/>
          <w:sz w:val="28"/>
          <w:szCs w:val="28"/>
        </w:rPr>
      </w:pPr>
      <w:r>
        <w:rPr>
          <w:b/>
          <w:color w:val="FF0000"/>
          <w:sz w:val="24"/>
        </w:rPr>
        <w:t>第二次报价将在开标现场填写，磋商响应文件密封提交时只需填写首次磋商报价。</w:t>
      </w:r>
    </w:p>
    <w:p>
      <w:pPr>
        <w:snapToGrid w:val="0"/>
        <w:spacing w:line="420" w:lineRule="exact"/>
        <w:jc w:val="center"/>
        <w:rPr>
          <w:color w:val="000000"/>
          <w:sz w:val="28"/>
          <w:szCs w:val="28"/>
        </w:rPr>
      </w:pPr>
    </w:p>
    <w:p>
      <w:pPr>
        <w:snapToGrid w:val="0"/>
        <w:spacing w:line="420" w:lineRule="exact"/>
        <w:jc w:val="center"/>
        <w:rPr>
          <w:b/>
          <w:bCs/>
          <w:sz w:val="24"/>
        </w:rPr>
      </w:pPr>
      <w:r>
        <w:rPr>
          <w:b/>
          <w:bCs/>
          <w:sz w:val="24"/>
        </w:rPr>
        <w:br w:type="page"/>
      </w:r>
      <w:r>
        <w:rPr>
          <w:b/>
          <w:bCs/>
          <w:sz w:val="24"/>
        </w:rPr>
        <w:t>10、中小企业声明函</w:t>
      </w:r>
    </w:p>
    <w:p>
      <w:pPr>
        <w:autoSpaceDE w:val="0"/>
        <w:autoSpaceDN w:val="0"/>
        <w:spacing w:before="5"/>
        <w:jc w:val="left"/>
        <w:rPr>
          <w:rFonts w:eastAsia="仿宋"/>
          <w:b/>
          <w:kern w:val="0"/>
          <w:sz w:val="48"/>
          <w:szCs w:val="32"/>
        </w:rPr>
      </w:pPr>
    </w:p>
    <w:p>
      <w:pPr>
        <w:autoSpaceDE w:val="0"/>
        <w:autoSpaceDN w:val="0"/>
        <w:spacing w:line="360" w:lineRule="auto"/>
        <w:ind w:firstLine="480" w:firstLineChars="200"/>
        <w:jc w:val="left"/>
        <w:rPr>
          <w:kern w:val="0"/>
          <w:sz w:val="24"/>
        </w:rPr>
      </w:pPr>
      <w:r>
        <w:rPr>
          <w:kern w:val="0"/>
          <w:sz w:val="24"/>
        </w:rPr>
        <w:t>本公司郑重声明，根据《政府采购促进中小企业发展管理办法》（财库﹝2020﹞46 号）的规定，本公司参加</w:t>
      </w:r>
      <w:r>
        <w:rPr>
          <w:kern w:val="0"/>
          <w:sz w:val="24"/>
          <w:u w:val="single"/>
        </w:rPr>
        <w:t xml:space="preserve">  </w:t>
      </w:r>
      <w:r>
        <w:rPr>
          <w:rFonts w:eastAsia="仿宋"/>
          <w:kern w:val="0"/>
          <w:sz w:val="24"/>
          <w:u w:val="single"/>
        </w:rPr>
        <w:t xml:space="preserve">（单位名称） </w:t>
      </w:r>
      <w:r>
        <w:rPr>
          <w:kern w:val="0"/>
          <w:sz w:val="24"/>
          <w:u w:val="single"/>
        </w:rPr>
        <w:t xml:space="preserve">  </w:t>
      </w:r>
      <w:r>
        <w:rPr>
          <w:kern w:val="0"/>
          <w:sz w:val="24"/>
        </w:rPr>
        <w:t>的</w:t>
      </w:r>
      <w:r>
        <w:rPr>
          <w:kern w:val="0"/>
          <w:sz w:val="24"/>
          <w:u w:val="single"/>
        </w:rPr>
        <w:t xml:space="preserve">    </w:t>
      </w:r>
      <w:r>
        <w:rPr>
          <w:rFonts w:eastAsia="仿宋"/>
          <w:kern w:val="0"/>
          <w:sz w:val="24"/>
          <w:u w:val="single"/>
        </w:rPr>
        <w:t>（项目名称）</w:t>
      </w:r>
      <w:r>
        <w:rPr>
          <w:kern w:val="0"/>
          <w:sz w:val="24"/>
          <w:u w:val="single"/>
        </w:rPr>
        <w:t xml:space="preserve">  </w:t>
      </w:r>
      <w:r>
        <w:rPr>
          <w:kern w:val="0"/>
          <w:sz w:val="24"/>
        </w:rPr>
        <w:t>项目</w:t>
      </w:r>
      <w:r>
        <w:rPr>
          <w:kern w:val="0"/>
          <w:sz w:val="24"/>
          <w:u w:val="single"/>
        </w:rPr>
        <w:t xml:space="preserve">  </w:t>
      </w:r>
      <w:r>
        <w:rPr>
          <w:rFonts w:eastAsia="仿宋"/>
          <w:kern w:val="0"/>
          <w:sz w:val="24"/>
          <w:u w:val="single"/>
        </w:rPr>
        <w:t xml:space="preserve">（标段号） </w:t>
      </w:r>
      <w:r>
        <w:rPr>
          <w:kern w:val="0"/>
          <w:sz w:val="24"/>
        </w:rPr>
        <w:t>标段的采购活动，提供的货物全部由符合政策要求的中小企业制造。相关企业的具体情况如下：</w:t>
      </w:r>
    </w:p>
    <w:p>
      <w:pPr>
        <w:tabs>
          <w:tab w:val="left" w:pos="1243"/>
        </w:tabs>
        <w:autoSpaceDE w:val="0"/>
        <w:autoSpaceDN w:val="0"/>
        <w:spacing w:line="360" w:lineRule="auto"/>
        <w:ind w:firstLine="480" w:firstLineChars="200"/>
        <w:jc w:val="left"/>
        <w:rPr>
          <w:w w:val="99"/>
          <w:kern w:val="0"/>
          <w:sz w:val="24"/>
        </w:rPr>
      </w:pPr>
      <w:r>
        <w:rPr>
          <w:rFonts w:eastAsia="仿宋"/>
          <w:kern w:val="0"/>
          <w:sz w:val="24"/>
        </w:rPr>
        <w:t>1.</w:t>
      </w:r>
      <w:r>
        <w:rPr>
          <w:rFonts w:eastAsia="仿宋"/>
          <w:kern w:val="0"/>
          <w:sz w:val="24"/>
          <w:u w:val="single"/>
        </w:rPr>
        <w:t>（标的名称）</w:t>
      </w:r>
      <w:r>
        <w:rPr>
          <w:w w:val="96"/>
          <w:kern w:val="0"/>
          <w:sz w:val="24"/>
          <w:u w:val="single"/>
        </w:rPr>
        <w:t xml:space="preserve">  </w:t>
      </w:r>
      <w:r>
        <w:rPr>
          <w:sz w:val="24"/>
        </w:rPr>
        <w:t>，属</w:t>
      </w:r>
      <w:r>
        <w:rPr>
          <w:sz w:val="24"/>
          <w:u w:val="single"/>
        </w:rPr>
        <w:t xml:space="preserve">   其他未列明行业</w:t>
      </w:r>
      <w:r>
        <w:rPr>
          <w:w w:val="96"/>
          <w:kern w:val="0"/>
          <w:sz w:val="24"/>
          <w:u w:val="single"/>
        </w:rPr>
        <w:t xml:space="preserve">  </w:t>
      </w:r>
      <w:r>
        <w:rPr>
          <w:w w:val="99"/>
          <w:kern w:val="0"/>
          <w:sz w:val="24"/>
        </w:rPr>
        <w:t>；</w:t>
      </w:r>
      <w:r>
        <w:rPr>
          <w:sz w:val="24"/>
        </w:rPr>
        <w:t>制造商为</w:t>
      </w:r>
      <w:r>
        <w:rPr>
          <w:sz w:val="24"/>
          <w:u w:val="single"/>
        </w:rPr>
        <w:t xml:space="preserve"> </w:t>
      </w:r>
      <w:r>
        <w:rPr>
          <w:rFonts w:eastAsia="仿宋"/>
          <w:kern w:val="0"/>
          <w:sz w:val="24"/>
          <w:u w:val="single"/>
        </w:rPr>
        <w:t xml:space="preserve"> （企业名称）</w:t>
      </w:r>
      <w:r>
        <w:rPr>
          <w:w w:val="96"/>
          <w:kern w:val="0"/>
          <w:sz w:val="24"/>
          <w:u w:val="single"/>
        </w:rPr>
        <w:t xml:space="preserve">   </w:t>
      </w:r>
      <w:r>
        <w:rPr>
          <w:sz w:val="24"/>
        </w:rPr>
        <w:t>，从业人员</w:t>
      </w:r>
      <w:r>
        <w:rPr>
          <w:w w:val="99"/>
          <w:kern w:val="0"/>
          <w:sz w:val="24"/>
          <w:u w:val="single"/>
        </w:rPr>
        <w:t xml:space="preserve">    </w:t>
      </w:r>
      <w:r>
        <w:rPr>
          <w:kern w:val="0"/>
          <w:sz w:val="24"/>
          <w:u w:val="single"/>
        </w:rPr>
        <w:tab/>
      </w:r>
      <w:r>
        <w:rPr>
          <w:sz w:val="24"/>
        </w:rPr>
        <w:t>人，营业收入为</w:t>
      </w:r>
      <w:r>
        <w:rPr>
          <w:kern w:val="0"/>
          <w:sz w:val="24"/>
          <w:u w:val="single"/>
        </w:rPr>
        <w:t xml:space="preserve">     </w:t>
      </w:r>
      <w:r>
        <w:rPr>
          <w:kern w:val="0"/>
          <w:sz w:val="24"/>
          <w:u w:val="single"/>
        </w:rPr>
        <w:tab/>
      </w:r>
      <w:r>
        <w:rPr>
          <w:kern w:val="0"/>
          <w:sz w:val="24"/>
        </w:rPr>
        <w:t>万元，资产总额为</w:t>
      </w:r>
      <w:r>
        <w:rPr>
          <w:kern w:val="0"/>
          <w:sz w:val="24"/>
          <w:u w:val="single"/>
        </w:rPr>
        <w:t xml:space="preserve"> </w:t>
      </w:r>
      <w:r>
        <w:rPr>
          <w:kern w:val="0"/>
          <w:sz w:val="24"/>
          <w:u w:val="single"/>
        </w:rPr>
        <w:tab/>
      </w:r>
      <w:r>
        <w:rPr>
          <w:kern w:val="0"/>
          <w:sz w:val="24"/>
          <w:u w:val="single"/>
        </w:rPr>
        <w:t xml:space="preserve">      </w:t>
      </w:r>
      <w:r>
        <w:rPr>
          <w:kern w:val="0"/>
          <w:sz w:val="24"/>
        </w:rPr>
        <w:t>万元</w:t>
      </w:r>
      <w:r>
        <w:rPr>
          <w:kern w:val="0"/>
          <w:sz w:val="24"/>
          <w:vertAlign w:val="superscript"/>
        </w:rPr>
        <w:t>1</w:t>
      </w:r>
      <w:r>
        <w:rPr>
          <w:kern w:val="0"/>
          <w:sz w:val="24"/>
        </w:rPr>
        <w:t>，属于</w:t>
      </w:r>
      <w:r>
        <w:rPr>
          <w:kern w:val="0"/>
          <w:sz w:val="24"/>
          <w:u w:val="single"/>
        </w:rPr>
        <w:t xml:space="preserve">   </w:t>
      </w:r>
      <w:r>
        <w:rPr>
          <w:rFonts w:eastAsia="仿宋"/>
          <w:kern w:val="0"/>
          <w:sz w:val="24"/>
          <w:u w:val="single"/>
        </w:rPr>
        <w:t>（中型企业、</w:t>
      </w:r>
      <w:r>
        <w:rPr>
          <w:rFonts w:eastAsia="仿宋"/>
          <w:w w:val="96"/>
          <w:kern w:val="0"/>
          <w:sz w:val="24"/>
          <w:u w:val="single"/>
        </w:rPr>
        <w:t>小型企业、微型企业）</w:t>
      </w:r>
      <w:r>
        <w:rPr>
          <w:w w:val="96"/>
          <w:kern w:val="0"/>
          <w:sz w:val="24"/>
          <w:u w:val="single"/>
        </w:rPr>
        <w:t xml:space="preserve"> </w:t>
      </w:r>
      <w:r>
        <w:rPr>
          <w:w w:val="99"/>
          <w:kern w:val="0"/>
          <w:sz w:val="24"/>
        </w:rPr>
        <w:t>；</w:t>
      </w:r>
    </w:p>
    <w:p>
      <w:pPr>
        <w:tabs>
          <w:tab w:val="left" w:pos="1243"/>
        </w:tabs>
        <w:autoSpaceDE w:val="0"/>
        <w:autoSpaceDN w:val="0"/>
        <w:spacing w:line="360" w:lineRule="auto"/>
        <w:ind w:firstLine="480" w:firstLineChars="200"/>
        <w:jc w:val="left"/>
        <w:rPr>
          <w:w w:val="99"/>
          <w:kern w:val="0"/>
          <w:sz w:val="24"/>
        </w:rPr>
      </w:pPr>
      <w:r>
        <w:rPr>
          <w:rFonts w:eastAsia="仿宋"/>
          <w:kern w:val="0"/>
          <w:sz w:val="24"/>
        </w:rPr>
        <w:t>2.</w:t>
      </w:r>
      <w:r>
        <w:rPr>
          <w:rFonts w:eastAsia="仿宋"/>
          <w:kern w:val="0"/>
          <w:sz w:val="24"/>
          <w:u w:val="single"/>
        </w:rPr>
        <w:t>（标的名称）</w:t>
      </w:r>
      <w:r>
        <w:rPr>
          <w:w w:val="96"/>
          <w:kern w:val="0"/>
          <w:sz w:val="24"/>
          <w:u w:val="single"/>
        </w:rPr>
        <w:t xml:space="preserve">  </w:t>
      </w:r>
      <w:r>
        <w:rPr>
          <w:sz w:val="24"/>
        </w:rPr>
        <w:t>，属</w:t>
      </w:r>
      <w:r>
        <w:rPr>
          <w:sz w:val="24"/>
          <w:u w:val="single"/>
        </w:rPr>
        <w:t xml:space="preserve">   其他未列明行业</w:t>
      </w:r>
      <w:r>
        <w:rPr>
          <w:w w:val="96"/>
          <w:kern w:val="0"/>
          <w:sz w:val="24"/>
          <w:u w:val="single"/>
        </w:rPr>
        <w:t xml:space="preserve">  </w:t>
      </w:r>
      <w:r>
        <w:rPr>
          <w:w w:val="99"/>
          <w:kern w:val="0"/>
          <w:sz w:val="24"/>
        </w:rPr>
        <w:t>；</w:t>
      </w:r>
      <w:r>
        <w:rPr>
          <w:sz w:val="24"/>
        </w:rPr>
        <w:t>制造商为</w:t>
      </w:r>
      <w:r>
        <w:rPr>
          <w:sz w:val="24"/>
          <w:u w:val="single"/>
        </w:rPr>
        <w:t xml:space="preserve"> </w:t>
      </w:r>
      <w:r>
        <w:rPr>
          <w:rFonts w:eastAsia="仿宋"/>
          <w:kern w:val="0"/>
          <w:sz w:val="24"/>
          <w:u w:val="single"/>
        </w:rPr>
        <w:t xml:space="preserve"> （企业名称）</w:t>
      </w:r>
      <w:r>
        <w:rPr>
          <w:w w:val="96"/>
          <w:kern w:val="0"/>
          <w:sz w:val="24"/>
          <w:u w:val="single"/>
        </w:rPr>
        <w:t xml:space="preserve">   </w:t>
      </w:r>
      <w:r>
        <w:rPr>
          <w:sz w:val="24"/>
        </w:rPr>
        <w:t>，从业人员</w:t>
      </w:r>
      <w:r>
        <w:rPr>
          <w:w w:val="99"/>
          <w:kern w:val="0"/>
          <w:sz w:val="24"/>
          <w:u w:val="single"/>
        </w:rPr>
        <w:t xml:space="preserve">    </w:t>
      </w:r>
      <w:r>
        <w:rPr>
          <w:kern w:val="0"/>
          <w:sz w:val="24"/>
          <w:u w:val="single"/>
        </w:rPr>
        <w:tab/>
      </w:r>
      <w:r>
        <w:rPr>
          <w:sz w:val="24"/>
        </w:rPr>
        <w:t>人，营业收入为</w:t>
      </w:r>
      <w:r>
        <w:rPr>
          <w:kern w:val="0"/>
          <w:sz w:val="24"/>
          <w:u w:val="single"/>
        </w:rPr>
        <w:t xml:space="preserve">     </w:t>
      </w:r>
      <w:r>
        <w:rPr>
          <w:kern w:val="0"/>
          <w:sz w:val="24"/>
          <w:u w:val="single"/>
        </w:rPr>
        <w:tab/>
      </w:r>
      <w:r>
        <w:rPr>
          <w:kern w:val="0"/>
          <w:sz w:val="24"/>
        </w:rPr>
        <w:t>万元，资产总额为</w:t>
      </w:r>
      <w:r>
        <w:rPr>
          <w:kern w:val="0"/>
          <w:sz w:val="24"/>
          <w:u w:val="single"/>
        </w:rPr>
        <w:t xml:space="preserve"> </w:t>
      </w:r>
      <w:r>
        <w:rPr>
          <w:kern w:val="0"/>
          <w:sz w:val="24"/>
          <w:u w:val="single"/>
        </w:rPr>
        <w:tab/>
      </w:r>
      <w:r>
        <w:rPr>
          <w:kern w:val="0"/>
          <w:sz w:val="24"/>
          <w:u w:val="single"/>
        </w:rPr>
        <w:t xml:space="preserve">      </w:t>
      </w:r>
      <w:r>
        <w:rPr>
          <w:kern w:val="0"/>
          <w:sz w:val="24"/>
        </w:rPr>
        <w:t>万元，属于</w:t>
      </w:r>
      <w:r>
        <w:rPr>
          <w:kern w:val="0"/>
          <w:sz w:val="24"/>
          <w:u w:val="single"/>
        </w:rPr>
        <w:t xml:space="preserve">   </w:t>
      </w:r>
      <w:r>
        <w:rPr>
          <w:rFonts w:eastAsia="仿宋"/>
          <w:kern w:val="0"/>
          <w:sz w:val="24"/>
          <w:u w:val="single"/>
        </w:rPr>
        <w:t>（中型企业、</w:t>
      </w:r>
      <w:r>
        <w:rPr>
          <w:rFonts w:eastAsia="仿宋"/>
          <w:w w:val="96"/>
          <w:kern w:val="0"/>
          <w:sz w:val="24"/>
          <w:u w:val="single"/>
        </w:rPr>
        <w:t>小型企业、微型企业）</w:t>
      </w:r>
      <w:r>
        <w:rPr>
          <w:w w:val="96"/>
          <w:kern w:val="0"/>
          <w:sz w:val="24"/>
          <w:u w:val="single"/>
        </w:rPr>
        <w:t xml:space="preserve"> </w:t>
      </w:r>
      <w:r>
        <w:rPr>
          <w:w w:val="99"/>
          <w:kern w:val="0"/>
          <w:sz w:val="24"/>
        </w:rPr>
        <w:t>；</w:t>
      </w:r>
    </w:p>
    <w:p>
      <w:pPr>
        <w:tabs>
          <w:tab w:val="left" w:pos="1243"/>
        </w:tabs>
        <w:autoSpaceDE w:val="0"/>
        <w:autoSpaceDN w:val="0"/>
        <w:spacing w:line="360" w:lineRule="auto"/>
        <w:ind w:firstLine="480" w:firstLineChars="200"/>
        <w:jc w:val="left"/>
        <w:rPr>
          <w:rFonts w:eastAsia="仿宋"/>
          <w:kern w:val="0"/>
          <w:sz w:val="24"/>
        </w:rPr>
      </w:pPr>
      <w:r>
        <w:rPr>
          <w:rFonts w:eastAsia="仿宋"/>
          <w:kern w:val="0"/>
          <w:sz w:val="24"/>
        </w:rPr>
        <w:t>……</w:t>
      </w:r>
    </w:p>
    <w:p>
      <w:pPr>
        <w:autoSpaceDE w:val="0"/>
        <w:autoSpaceDN w:val="0"/>
        <w:spacing w:line="360" w:lineRule="auto"/>
        <w:ind w:firstLine="480" w:firstLineChars="200"/>
        <w:jc w:val="left"/>
        <w:rPr>
          <w:sz w:val="24"/>
        </w:rPr>
      </w:pPr>
      <w:r>
        <w:rPr>
          <w:kern w:val="0"/>
          <w:sz w:val="24"/>
        </w:rPr>
        <w:t>以上企业，</w:t>
      </w:r>
      <w:r>
        <w:rPr>
          <w:sz w:val="24"/>
        </w:rPr>
        <w:t>不属于大企业的分支机构，不存在控股股东为大企业的情形，也不存在与大企业的负责人为同一人的情形。</w:t>
      </w:r>
    </w:p>
    <w:p>
      <w:pPr>
        <w:autoSpaceDE w:val="0"/>
        <w:autoSpaceDN w:val="0"/>
        <w:spacing w:line="360" w:lineRule="auto"/>
        <w:ind w:firstLine="480" w:firstLineChars="200"/>
        <w:jc w:val="left"/>
        <w:rPr>
          <w:sz w:val="24"/>
        </w:rPr>
      </w:pPr>
      <w:r>
        <w:rPr>
          <w:sz w:val="24"/>
        </w:rPr>
        <w:t>本企业对上述声明内容的真实性负责。如有虚假，将依法承担相应责任。</w:t>
      </w:r>
    </w:p>
    <w:p>
      <w:pPr>
        <w:autoSpaceDE w:val="0"/>
        <w:autoSpaceDN w:val="0"/>
        <w:spacing w:line="360" w:lineRule="auto"/>
        <w:ind w:firstLine="480" w:firstLineChars="200"/>
        <w:jc w:val="left"/>
        <w:rPr>
          <w:sz w:val="24"/>
        </w:rPr>
      </w:pPr>
    </w:p>
    <w:p>
      <w:pPr>
        <w:autoSpaceDE w:val="0"/>
        <w:autoSpaceDN w:val="0"/>
        <w:spacing w:line="360" w:lineRule="auto"/>
        <w:ind w:firstLine="4320" w:firstLineChars="1800"/>
        <w:jc w:val="left"/>
        <w:rPr>
          <w:sz w:val="24"/>
        </w:rPr>
      </w:pPr>
      <w:r>
        <w:rPr>
          <w:sz w:val="24"/>
        </w:rPr>
        <w:t>企业名称（盖章）：</w:t>
      </w:r>
    </w:p>
    <w:p>
      <w:pPr>
        <w:autoSpaceDE w:val="0"/>
        <w:autoSpaceDN w:val="0"/>
        <w:spacing w:line="360" w:lineRule="auto"/>
        <w:ind w:firstLine="4320" w:firstLineChars="1800"/>
        <w:jc w:val="left"/>
        <w:rPr>
          <w:sz w:val="24"/>
        </w:rPr>
      </w:pPr>
      <w:r>
        <w:rPr>
          <w:sz w:val="24"/>
        </w:rPr>
        <w:t>日 期：</w:t>
      </w:r>
    </w:p>
    <w:p>
      <w:pPr>
        <w:autoSpaceDE w:val="0"/>
        <w:autoSpaceDN w:val="0"/>
        <w:spacing w:line="360" w:lineRule="auto"/>
        <w:ind w:firstLine="480" w:firstLineChars="200"/>
        <w:jc w:val="left"/>
        <w:rPr>
          <w:sz w:val="24"/>
        </w:rPr>
      </w:pPr>
    </w:p>
    <w:p>
      <w:pPr>
        <w:autoSpaceDE w:val="0"/>
        <w:autoSpaceDN w:val="0"/>
        <w:spacing w:line="360" w:lineRule="auto"/>
        <w:ind w:firstLine="480" w:firstLineChars="200"/>
        <w:jc w:val="left"/>
        <w:rPr>
          <w:sz w:val="24"/>
        </w:rPr>
      </w:pPr>
    </w:p>
    <w:p>
      <w:pPr>
        <w:autoSpaceDE w:val="0"/>
        <w:autoSpaceDN w:val="0"/>
        <w:spacing w:line="360" w:lineRule="auto"/>
        <w:ind w:firstLine="480" w:firstLineChars="200"/>
        <w:jc w:val="left"/>
        <w:rPr>
          <w:sz w:val="24"/>
        </w:rPr>
      </w:pPr>
      <w:r>
        <w:rPr>
          <w:sz w:val="24"/>
        </w:rPr>
        <w:t>注：企业划分详见《工业和信息化部、国家统计局、国家发展和改革委员会、财政部关于印发中小企业划型标准规定的通知》(工信部联企业[2011]300号)规定的划分标准。</w:t>
      </w:r>
    </w:p>
    <w:p>
      <w:pPr>
        <w:spacing w:line="420" w:lineRule="exact"/>
        <w:jc w:val="center"/>
        <w:rPr>
          <w:b/>
          <w:bCs/>
          <w:sz w:val="24"/>
        </w:rPr>
      </w:pPr>
    </w:p>
    <w:p>
      <w:pPr>
        <w:spacing w:line="420" w:lineRule="exact"/>
        <w:jc w:val="center"/>
        <w:rPr>
          <w:b/>
          <w:bCs/>
          <w:sz w:val="28"/>
          <w:szCs w:val="28"/>
        </w:rPr>
      </w:pPr>
      <w:r>
        <w:rPr>
          <w:rFonts w:eastAsia="黑体"/>
          <w:b/>
          <w:sz w:val="32"/>
          <w:szCs w:val="32"/>
        </w:rPr>
        <w:pict>
          <v:shape id="1027" o:spid="_x0000_s1026" o:spt="202" type="#_x0000_t202" style="position:absolute;left:0pt;margin-left:96.45pt;margin-top:758.6pt;height:23.55pt;width:371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225" w:lineRule="exact"/>
                    <w:ind w:left="20"/>
                    <w:rPr>
                      <w:rFonts w:ascii="宋体"/>
                      <w:sz w:val="18"/>
                    </w:rPr>
                  </w:pPr>
                  <w:r>
                    <w:rPr>
                      <w:rFonts w:hint="eastAsia" w:ascii="宋体"/>
                      <w:sz w:val="18"/>
                    </w:rPr>
                    <w:t>1从业人员、营业收入、资产总额填报上一年度数据，无上一年度数据的新成立企业可不填报。</w:t>
                  </w:r>
                </w:p>
                <w:p>
                  <w:pPr>
                    <w:spacing w:before="8"/>
                    <w:ind w:left="3911" w:right="3285"/>
                    <w:jc w:val="center"/>
                    <w:rPr>
                      <w:rFonts w:ascii="Calibri"/>
                      <w:sz w:val="18"/>
                    </w:rPr>
                  </w:pPr>
                </w:p>
              </w:txbxContent>
            </v:textbox>
          </v:shape>
        </w:pict>
      </w:r>
      <w:r>
        <w:rPr>
          <w:rFonts w:eastAsia="黑体"/>
          <w:b/>
          <w:sz w:val="32"/>
          <w:szCs w:val="32"/>
        </w:rPr>
        <w:br w:type="page"/>
      </w:r>
      <w:r>
        <w:rPr>
          <w:b/>
          <w:bCs/>
          <w:sz w:val="28"/>
          <w:szCs w:val="28"/>
        </w:rPr>
        <w:t>11、残疾人福利性单位声明函</w:t>
      </w:r>
    </w:p>
    <w:p>
      <w:pPr>
        <w:spacing w:line="360" w:lineRule="auto"/>
        <w:ind w:firstLine="480" w:firstLineChars="200"/>
        <w:jc w:val="left"/>
        <w:rPr>
          <w:sz w:val="24"/>
        </w:rPr>
      </w:pPr>
    </w:p>
    <w:p>
      <w:pPr>
        <w:spacing w:line="360" w:lineRule="auto"/>
        <w:ind w:firstLine="480" w:firstLineChars="200"/>
        <w:jc w:val="left"/>
        <w:rPr>
          <w:sz w:val="24"/>
        </w:rPr>
      </w:pPr>
      <w:r>
        <w:rPr>
          <w:sz w:val="24"/>
        </w:rPr>
        <w:t>本单位郑重声明，根据《财政部 民政部 中国残疾人联合会关于促进残疾人就业政府采购政策的通知》（财库〔2017〕 141号）的规定，本单位为符合条件的残疾人福利性单位，且本单位参加______单位的项目编号为______的</w:t>
      </w:r>
      <w:r>
        <w:rPr>
          <w:sz w:val="24"/>
          <w:u w:val="single"/>
        </w:rPr>
        <w:t xml:space="preserve">       </w:t>
      </w:r>
      <w:r>
        <w:rPr>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sz w:val="24"/>
        </w:rPr>
      </w:pPr>
      <w:r>
        <w:rPr>
          <w:sz w:val="24"/>
        </w:rPr>
        <w:t>本单位对上述声明的真实性负责。如有虚假，将依法承担相应责任。</w:t>
      </w:r>
    </w:p>
    <w:p>
      <w:pPr>
        <w:spacing w:line="360" w:lineRule="auto"/>
        <w:ind w:firstLine="480" w:firstLineChars="200"/>
        <w:jc w:val="left"/>
        <w:rPr>
          <w:sz w:val="24"/>
        </w:rPr>
      </w:pPr>
    </w:p>
    <w:p>
      <w:pPr>
        <w:spacing w:line="360" w:lineRule="auto"/>
        <w:ind w:firstLine="480" w:firstLineChars="200"/>
        <w:jc w:val="left"/>
        <w:rPr>
          <w:sz w:val="24"/>
        </w:rPr>
      </w:pPr>
      <w:r>
        <w:rPr>
          <w:sz w:val="24"/>
        </w:rPr>
        <w:t>（备注：1、供应商如不提供此声明函，价格将不做相应扣除。2、中标供应商为残疾人福利单位的，此声明函将随中标结果同时公告，接受社会监督）</w:t>
      </w:r>
    </w:p>
    <w:p>
      <w:pPr>
        <w:spacing w:line="588" w:lineRule="exact"/>
        <w:ind w:firstLine="624" w:firstLineChars="200"/>
        <w:rPr>
          <w:rFonts w:eastAsia="仿宋_GB2312"/>
          <w:spacing w:val="6"/>
          <w:sz w:val="30"/>
          <w:szCs w:val="30"/>
        </w:rPr>
      </w:pPr>
    </w:p>
    <w:p>
      <w:pPr>
        <w:spacing w:line="360" w:lineRule="auto"/>
        <w:ind w:firstLine="3840" w:firstLineChars="1600"/>
        <w:jc w:val="left"/>
        <w:rPr>
          <w:sz w:val="24"/>
        </w:rPr>
      </w:pPr>
      <w:r>
        <w:rPr>
          <w:sz w:val="24"/>
        </w:rPr>
        <w:t>供应商全称（盖章）：</w:t>
      </w:r>
    </w:p>
    <w:p>
      <w:pPr>
        <w:spacing w:line="360" w:lineRule="auto"/>
        <w:ind w:firstLine="3840" w:firstLineChars="1600"/>
        <w:jc w:val="left"/>
        <w:rPr>
          <w:sz w:val="24"/>
        </w:rPr>
      </w:pPr>
      <w:r>
        <w:rPr>
          <w:sz w:val="24"/>
        </w:rPr>
        <w:t>日  期：</w:t>
      </w:r>
    </w:p>
    <w:p>
      <w:pPr>
        <w:pStyle w:val="36"/>
        <w:ind w:left="0" w:leftChars="0" w:firstLine="0" w:firstLineChars="0"/>
      </w:pPr>
    </w:p>
    <w:sectPr>
      <w:footerReference r:id="rId4" w:type="default"/>
      <w:pgSz w:w="11906" w:h="16838"/>
      <w:pgMar w:top="1418" w:right="1247"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371D1B-4AC1-4D0C-98EA-AA2FB2C713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138C6A7-2446-44B1-A2A2-DFCB174C09DD}"/>
  </w:font>
  <w:font w:name="仿宋">
    <w:panose1 w:val="02010609060101010101"/>
    <w:charset w:val="86"/>
    <w:family w:val="modern"/>
    <w:pitch w:val="default"/>
    <w:sig w:usb0="800002BF" w:usb1="38CF7CFA" w:usb2="00000016" w:usb3="00000000" w:csb0="00040001" w:csb1="00000000"/>
    <w:embedRegular r:id="rId3" w:fontKey="{49920A2C-6366-462C-9D85-26BE5D9FD47B}"/>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embedRegular r:id="rId4" w:fontKey="{783B462F-2444-42F2-886F-5F63B32BD541}"/>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KOCJL A+ Avenir LT Std">
    <w:altName w:val="微软雅黑"/>
    <w:panose1 w:val="00000000000000000000"/>
    <w:charset w:val="86"/>
    <w:family w:val="swiss"/>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embedRegular r:id="rId5" w:fontKey="{EAAF23DE-BBB1-4A1B-964D-7ACF60D4A570}"/>
  </w:font>
  <w:font w:name="___WRD_EMBED_SUB_38">
    <w:altName w:val="宋体"/>
    <w:panose1 w:val="02010609030101010101"/>
    <w:charset w:val="86"/>
    <w:family w:val="modern"/>
    <w:pitch w:val="default"/>
    <w:sig w:usb0="00000000" w:usb1="00000000" w:usb2="00000010" w:usb3="00000000" w:csb0="00040001" w:csb1="00000000"/>
    <w:embedRegular r:id="rId6" w:fontKey="{10F637F3-C1DE-4728-81EA-C6354E9A198E}"/>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PAGE   \* MERGEFORMAT</w:instrText>
    </w:r>
    <w:r>
      <w:fldChar w:fldCharType="separate"/>
    </w:r>
    <w:r>
      <w:rPr>
        <w:lang w:val="zh-CN"/>
      </w:rPr>
      <w:t>33</w:t>
    </w:r>
    <w: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3"/>
      <w:numFmt w:val="decimal"/>
      <w:pStyle w:val="154"/>
      <w:suff w:val="nothing"/>
      <w:lvlText w:val="%1、"/>
      <w:lvlJc w:val="left"/>
    </w:lvl>
  </w:abstractNum>
  <w:abstractNum w:abstractNumId="2">
    <w:nsid w:val="00000003"/>
    <w:multiLevelType w:val="multilevel"/>
    <w:tmpl w:val="00000003"/>
    <w:lvl w:ilvl="0" w:tentative="0">
      <w:start w:val="1"/>
      <w:numFmt w:val="decimal"/>
      <w:pStyle w:val="101"/>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0000004"/>
    <w:multiLevelType w:val="multilevel"/>
    <w:tmpl w:val="00000004"/>
    <w:lvl w:ilvl="0" w:tentative="0">
      <w:start w:val="1"/>
      <w:numFmt w:val="bullet"/>
      <w:pStyle w:val="143"/>
      <w:lvlText w:val=""/>
      <w:lvlJc w:val="left"/>
      <w:pPr>
        <w:tabs>
          <w:tab w:val="left" w:pos="480"/>
        </w:tabs>
        <w:ind w:left="480" w:hanging="480"/>
      </w:pPr>
      <w:rPr>
        <w:rFonts w:hint="default" w:ascii="Wingdings" w:hAnsi="Wingdings"/>
        <w:sz w:val="16"/>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4">
    <w:nsid w:val="00000005"/>
    <w:multiLevelType w:val="multilevel"/>
    <w:tmpl w:val="00000005"/>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1A3F"/>
    <w:rsid w:val="00116AD0"/>
    <w:rsid w:val="00535490"/>
    <w:rsid w:val="00581A3F"/>
    <w:rsid w:val="00692D69"/>
    <w:rsid w:val="008E01FC"/>
    <w:rsid w:val="00DA0BF5"/>
    <w:rsid w:val="00FB205E"/>
    <w:rsid w:val="36EC5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nhideWhenUsed="0" w:uiPriority="99"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unhideWhenUsed="0" w:uiPriority="99" w:semiHidden="0" w:name="Normal (Web)"/>
    <w:lsdException w:unhideWhenUsed="0" w:uiPriority="99" w:semiHidden="0" w:name="HTML Acronym"/>
    <w:lsdException w:uiPriority="99"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0" w:semiHidden="0" w:name="HTML Preformatted"/>
    <w:lsdException w:unhideWhenUsed="0" w:uiPriority="99" w:semiHidden="0" w:name="HTML Sample"/>
    <w:lsdException w:unhideWhenUsed="0" w:uiPriority="0" w:semiHidden="0" w:name="HTML Typewriter"/>
    <w:lsdException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4"/>
    <w:qFormat/>
    <w:uiPriority w:val="0"/>
    <w:pPr>
      <w:keepNext/>
      <w:keepLines/>
      <w:spacing w:line="578" w:lineRule="auto"/>
      <w:outlineLvl w:val="0"/>
    </w:pPr>
    <w:rPr>
      <w:rFonts w:eastAsia="仿宋"/>
      <w:b/>
      <w:bCs/>
      <w:kern w:val="44"/>
      <w:sz w:val="28"/>
      <w:szCs w:val="44"/>
    </w:rPr>
  </w:style>
  <w:style w:type="paragraph" w:styleId="6">
    <w:name w:val="heading 2"/>
    <w:basedOn w:val="1"/>
    <w:next w:val="1"/>
    <w:link w:val="55"/>
    <w:qFormat/>
    <w:uiPriority w:val="9"/>
    <w:pPr>
      <w:keepNext/>
      <w:keepLines/>
      <w:spacing w:before="260" w:after="260" w:line="416" w:lineRule="auto"/>
      <w:outlineLvl w:val="1"/>
    </w:pPr>
    <w:rPr>
      <w:rFonts w:ascii="Cambria" w:hAnsi="Cambria"/>
      <w:b/>
      <w:bCs/>
      <w:sz w:val="32"/>
      <w:szCs w:val="32"/>
    </w:rPr>
  </w:style>
  <w:style w:type="paragraph" w:styleId="7">
    <w:name w:val="heading 3"/>
    <w:basedOn w:val="1"/>
    <w:next w:val="1"/>
    <w:link w:val="56"/>
    <w:qFormat/>
    <w:uiPriority w:val="0"/>
    <w:pPr>
      <w:keepNext/>
      <w:keepLines/>
      <w:spacing w:before="260" w:after="260" w:line="416" w:lineRule="auto"/>
      <w:outlineLvl w:val="2"/>
    </w:pPr>
    <w:rPr>
      <w:b/>
      <w:bCs/>
      <w:kern w:val="0"/>
      <w:sz w:val="32"/>
      <w:szCs w:val="32"/>
    </w:rPr>
  </w:style>
  <w:style w:type="paragraph" w:styleId="8">
    <w:name w:val="heading 4"/>
    <w:basedOn w:val="1"/>
    <w:next w:val="1"/>
    <w:link w:val="57"/>
    <w:qFormat/>
    <w:uiPriority w:val="9"/>
    <w:pPr>
      <w:keepNext/>
      <w:jc w:val="center"/>
      <w:outlineLvl w:val="3"/>
    </w:pPr>
    <w:rPr>
      <w:rFonts w:eastAsia="新宋体"/>
      <w:kern w:val="0"/>
      <w:sz w:val="30"/>
      <w:szCs w:val="21"/>
    </w:rPr>
  </w:style>
  <w:style w:type="paragraph" w:styleId="9">
    <w:name w:val="heading 5"/>
    <w:basedOn w:val="1"/>
    <w:next w:val="1"/>
    <w:link w:val="58"/>
    <w:qFormat/>
    <w:uiPriority w:val="0"/>
    <w:pPr>
      <w:keepNext/>
      <w:keepLines/>
      <w:spacing w:before="280" w:after="290" w:line="376" w:lineRule="auto"/>
      <w:outlineLvl w:val="4"/>
    </w:pPr>
    <w:rPr>
      <w:b/>
      <w:bCs/>
      <w:kern w:val="0"/>
      <w:sz w:val="28"/>
      <w:szCs w:val="28"/>
    </w:rPr>
  </w:style>
  <w:style w:type="paragraph" w:styleId="10">
    <w:name w:val="heading 6"/>
    <w:basedOn w:val="1"/>
    <w:next w:val="11"/>
    <w:link w:val="59"/>
    <w:qFormat/>
    <w:uiPriority w:val="0"/>
    <w:pPr>
      <w:keepNext/>
      <w:jc w:val="center"/>
      <w:outlineLvl w:val="5"/>
    </w:pPr>
    <w:rPr>
      <w:b/>
      <w:kern w:val="0"/>
      <w:sz w:val="44"/>
      <w:szCs w:val="20"/>
    </w:rPr>
  </w:style>
  <w:style w:type="paragraph" w:styleId="12">
    <w:name w:val="heading 7"/>
    <w:basedOn w:val="1"/>
    <w:next w:val="1"/>
    <w:link w:val="61"/>
    <w:qFormat/>
    <w:uiPriority w:val="0"/>
    <w:pPr>
      <w:keepNext/>
      <w:keepLines/>
      <w:spacing w:before="240" w:after="64" w:line="320" w:lineRule="auto"/>
      <w:outlineLvl w:val="6"/>
    </w:pPr>
    <w:rPr>
      <w:b/>
      <w:bCs/>
      <w:kern w:val="0"/>
      <w:sz w:val="24"/>
    </w:rPr>
  </w:style>
  <w:style w:type="paragraph" w:styleId="13">
    <w:name w:val="heading 8"/>
    <w:basedOn w:val="1"/>
    <w:next w:val="1"/>
    <w:link w:val="62"/>
    <w:qFormat/>
    <w:uiPriority w:val="0"/>
    <w:pPr>
      <w:keepNext/>
      <w:keepLines/>
      <w:spacing w:before="240" w:after="64" w:line="320" w:lineRule="auto"/>
      <w:outlineLvl w:val="7"/>
    </w:pPr>
    <w:rPr>
      <w:rFonts w:ascii="Arial" w:hAnsi="Arial" w:eastAsia="黑体"/>
      <w:kern w:val="0"/>
      <w:sz w:val="24"/>
    </w:rPr>
  </w:style>
  <w:style w:type="paragraph" w:styleId="14">
    <w:name w:val="heading 9"/>
    <w:basedOn w:val="1"/>
    <w:next w:val="1"/>
    <w:link w:val="63"/>
    <w:qFormat/>
    <w:uiPriority w:val="0"/>
    <w:pPr>
      <w:keepNext/>
      <w:keepLines/>
      <w:spacing w:before="240" w:after="64" w:line="320" w:lineRule="auto"/>
      <w:outlineLvl w:val="8"/>
    </w:pPr>
    <w:rPr>
      <w:rFonts w:ascii="Arial" w:hAnsi="Arial" w:eastAsia="黑体"/>
      <w:kern w:val="0"/>
      <w:sz w:val="24"/>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200" w:firstLineChars="200"/>
    </w:pPr>
  </w:style>
  <w:style w:type="paragraph" w:customStyle="1" w:styleId="3">
    <w:name w:val="BodyTextIndent"/>
    <w:basedOn w:val="1"/>
    <w:next w:val="4"/>
    <w:qFormat/>
    <w:uiPriority w:val="0"/>
    <w:pPr>
      <w:spacing w:after="120"/>
      <w:ind w:left="420" w:leftChars="200"/>
      <w:textAlignment w:val="baseline"/>
    </w:pPr>
  </w:style>
  <w:style w:type="paragraph" w:customStyle="1" w:styleId="4">
    <w:name w:val="EnvelopeReturn"/>
    <w:basedOn w:val="1"/>
    <w:uiPriority w:val="0"/>
    <w:pPr>
      <w:snapToGrid w:val="0"/>
      <w:textAlignment w:val="baseline"/>
    </w:pPr>
    <w:rPr>
      <w:rFonts w:ascii="Arial" w:hAnsi="Arial"/>
    </w:rPr>
  </w:style>
  <w:style w:type="paragraph" w:styleId="11">
    <w:name w:val="Normal Indent"/>
    <w:basedOn w:val="1"/>
    <w:link w:val="60"/>
    <w:qFormat/>
    <w:uiPriority w:val="0"/>
    <w:pPr>
      <w:adjustRightInd w:val="0"/>
      <w:spacing w:line="360" w:lineRule="atLeast"/>
      <w:ind w:firstLine="482"/>
      <w:textAlignment w:val="baseline"/>
    </w:pPr>
    <w:rPr>
      <w:kern w:val="0"/>
      <w:sz w:val="24"/>
    </w:rPr>
  </w:style>
  <w:style w:type="paragraph" w:styleId="15">
    <w:name w:val="Document Map"/>
    <w:basedOn w:val="1"/>
    <w:link w:val="64"/>
    <w:uiPriority w:val="0"/>
    <w:pPr>
      <w:shd w:val="clear" w:color="auto" w:fill="000080"/>
    </w:pPr>
    <w:rPr>
      <w:kern w:val="0"/>
      <w:sz w:val="20"/>
    </w:rPr>
  </w:style>
  <w:style w:type="paragraph" w:styleId="16">
    <w:name w:val="annotation text"/>
    <w:basedOn w:val="1"/>
    <w:link w:val="65"/>
    <w:qFormat/>
    <w:uiPriority w:val="0"/>
    <w:pPr>
      <w:jc w:val="left"/>
    </w:pPr>
  </w:style>
  <w:style w:type="paragraph" w:styleId="17">
    <w:name w:val="Body Text 3"/>
    <w:basedOn w:val="1"/>
    <w:link w:val="66"/>
    <w:uiPriority w:val="0"/>
    <w:pPr>
      <w:spacing w:after="120"/>
    </w:pPr>
    <w:rPr>
      <w:kern w:val="0"/>
      <w:sz w:val="16"/>
      <w:szCs w:val="16"/>
    </w:rPr>
  </w:style>
  <w:style w:type="paragraph" w:styleId="18">
    <w:name w:val="Body Text"/>
    <w:basedOn w:val="1"/>
    <w:link w:val="67"/>
    <w:uiPriority w:val="0"/>
    <w:pPr>
      <w:spacing w:after="120"/>
    </w:pPr>
  </w:style>
  <w:style w:type="paragraph" w:styleId="19">
    <w:name w:val="Body Text Indent"/>
    <w:basedOn w:val="1"/>
    <w:next w:val="20"/>
    <w:link w:val="68"/>
    <w:uiPriority w:val="0"/>
    <w:pPr>
      <w:spacing w:after="120"/>
      <w:ind w:left="420" w:leftChars="200"/>
    </w:pPr>
  </w:style>
  <w:style w:type="paragraph" w:styleId="20">
    <w:name w:val="envelope return"/>
    <w:basedOn w:val="1"/>
    <w:qFormat/>
    <w:uiPriority w:val="99"/>
    <w:pPr>
      <w:snapToGrid w:val="0"/>
    </w:pPr>
    <w:rPr>
      <w:rFonts w:ascii="Arial" w:hAnsi="Arial"/>
    </w:rPr>
  </w:style>
  <w:style w:type="paragraph" w:styleId="21">
    <w:name w:val="Plain Text"/>
    <w:basedOn w:val="1"/>
    <w:link w:val="69"/>
    <w:qFormat/>
    <w:uiPriority w:val="0"/>
    <w:rPr>
      <w:rFonts w:ascii="宋体" w:hAnsi="Courier New"/>
      <w:szCs w:val="21"/>
    </w:rPr>
  </w:style>
  <w:style w:type="paragraph" w:styleId="22">
    <w:name w:val="Date"/>
    <w:basedOn w:val="1"/>
    <w:next w:val="1"/>
    <w:link w:val="70"/>
    <w:uiPriority w:val="0"/>
    <w:rPr>
      <w:kern w:val="0"/>
      <w:sz w:val="24"/>
      <w:szCs w:val="20"/>
    </w:rPr>
  </w:style>
  <w:style w:type="paragraph" w:styleId="23">
    <w:name w:val="Body Text Indent 2"/>
    <w:basedOn w:val="1"/>
    <w:link w:val="71"/>
    <w:uiPriority w:val="0"/>
    <w:pPr>
      <w:spacing w:after="120" w:line="480" w:lineRule="auto"/>
      <w:ind w:left="420" w:leftChars="200"/>
    </w:pPr>
    <w:rPr>
      <w:kern w:val="0"/>
      <w:sz w:val="20"/>
    </w:rPr>
  </w:style>
  <w:style w:type="paragraph" w:styleId="24">
    <w:name w:val="Balloon Text"/>
    <w:basedOn w:val="1"/>
    <w:link w:val="72"/>
    <w:qFormat/>
    <w:uiPriority w:val="99"/>
    <w:rPr>
      <w:sz w:val="18"/>
      <w:szCs w:val="18"/>
    </w:rPr>
  </w:style>
  <w:style w:type="paragraph" w:styleId="25">
    <w:name w:val="footer"/>
    <w:basedOn w:val="1"/>
    <w:link w:val="73"/>
    <w:uiPriority w:val="99"/>
    <w:pPr>
      <w:tabs>
        <w:tab w:val="center" w:pos="4153"/>
        <w:tab w:val="right" w:pos="8306"/>
      </w:tabs>
      <w:snapToGrid w:val="0"/>
      <w:jc w:val="left"/>
    </w:pPr>
    <w:rPr>
      <w:sz w:val="18"/>
      <w:szCs w:val="18"/>
    </w:rPr>
  </w:style>
  <w:style w:type="paragraph" w:styleId="26">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uiPriority w:val="39"/>
    <w:rPr>
      <w:sz w:val="24"/>
    </w:rPr>
  </w:style>
  <w:style w:type="paragraph" w:styleId="28">
    <w:name w:val="List"/>
    <w:basedOn w:val="1"/>
    <w:uiPriority w:val="0"/>
    <w:pPr>
      <w:ind w:left="200" w:hanging="200" w:hangingChars="200"/>
    </w:pPr>
  </w:style>
  <w:style w:type="paragraph" w:styleId="29">
    <w:name w:val="Body Text Indent 3"/>
    <w:basedOn w:val="1"/>
    <w:link w:val="75"/>
    <w:uiPriority w:val="0"/>
    <w:pPr>
      <w:spacing w:after="120"/>
      <w:ind w:left="420" w:leftChars="200"/>
    </w:pPr>
    <w:rPr>
      <w:kern w:val="0"/>
      <w:sz w:val="16"/>
      <w:szCs w:val="16"/>
    </w:rPr>
  </w:style>
  <w:style w:type="paragraph" w:styleId="30">
    <w:name w:val="Body Text 2"/>
    <w:basedOn w:val="1"/>
    <w:link w:val="76"/>
    <w:uiPriority w:val="0"/>
    <w:pPr>
      <w:snapToGrid w:val="0"/>
    </w:pPr>
    <w:rPr>
      <w:b/>
      <w:bCs/>
      <w:kern w:val="0"/>
      <w:sz w:val="18"/>
    </w:rPr>
  </w:style>
  <w:style w:type="paragraph" w:styleId="31">
    <w:name w:val="HTML Preformatted"/>
    <w:basedOn w:val="1"/>
    <w:link w:val="7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2">
    <w:name w:val="Normal (Web)"/>
    <w:basedOn w:val="1"/>
    <w:uiPriority w:val="99"/>
    <w:pPr>
      <w:widowControl/>
      <w:spacing w:before="100" w:beforeAutospacing="1" w:after="100" w:afterAutospacing="1"/>
      <w:jc w:val="left"/>
    </w:pPr>
    <w:rPr>
      <w:rFonts w:ascii="宋体" w:hAnsi="宋体" w:cs="宋体"/>
      <w:kern w:val="0"/>
      <w:sz w:val="24"/>
    </w:rPr>
  </w:style>
  <w:style w:type="paragraph" w:styleId="33">
    <w:name w:val="Title"/>
    <w:basedOn w:val="1"/>
    <w:link w:val="78"/>
    <w:qFormat/>
    <w:uiPriority w:val="0"/>
    <w:pPr>
      <w:spacing w:before="240" w:after="60"/>
      <w:jc w:val="center"/>
      <w:outlineLvl w:val="0"/>
    </w:pPr>
    <w:rPr>
      <w:rFonts w:ascii="Arial" w:hAnsi="Arial"/>
      <w:b/>
      <w:bCs/>
      <w:kern w:val="0"/>
      <w:sz w:val="32"/>
      <w:szCs w:val="32"/>
    </w:rPr>
  </w:style>
  <w:style w:type="paragraph" w:styleId="34">
    <w:name w:val="annotation subject"/>
    <w:basedOn w:val="16"/>
    <w:next w:val="16"/>
    <w:link w:val="79"/>
    <w:qFormat/>
    <w:uiPriority w:val="0"/>
    <w:rPr>
      <w:b/>
      <w:bCs/>
    </w:rPr>
  </w:style>
  <w:style w:type="paragraph" w:styleId="35">
    <w:name w:val="Body Text First Indent"/>
    <w:basedOn w:val="18"/>
    <w:link w:val="80"/>
    <w:uiPriority w:val="0"/>
    <w:pPr>
      <w:ind w:firstLine="420" w:firstLineChars="100"/>
    </w:pPr>
    <w:rPr>
      <w:kern w:val="0"/>
      <w:sz w:val="24"/>
    </w:rPr>
  </w:style>
  <w:style w:type="paragraph" w:styleId="36">
    <w:name w:val="Body Text First Indent 2"/>
    <w:basedOn w:val="19"/>
    <w:uiPriority w:val="99"/>
    <w:pPr>
      <w:ind w:firstLine="200" w:firstLineChars="200"/>
    </w:pPr>
  </w:style>
  <w:style w:type="table" w:styleId="38">
    <w:name w:val="Table Grid"/>
    <w:basedOn w:val="3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bCs/>
    </w:rPr>
  </w:style>
  <w:style w:type="character" w:styleId="41">
    <w:name w:val="page number"/>
    <w:uiPriority w:val="0"/>
  </w:style>
  <w:style w:type="character" w:styleId="42">
    <w:name w:val="FollowedHyperlink"/>
    <w:uiPriority w:val="0"/>
    <w:rPr>
      <w:color w:val="800080"/>
      <w:u w:val="none"/>
    </w:rPr>
  </w:style>
  <w:style w:type="character" w:styleId="43">
    <w:name w:val="Emphasis"/>
    <w:qFormat/>
    <w:uiPriority w:val="0"/>
    <w:rPr>
      <w:rFonts w:ascii="Cambria" w:hAnsi="Cambria" w:eastAsia="黑体" w:cs="Times New Roman"/>
      <w:b/>
      <w:bCs/>
      <w:iCs/>
      <w:kern w:val="2"/>
      <w:sz w:val="24"/>
      <w:szCs w:val="32"/>
      <w:lang w:val="en-US" w:eastAsia="zh-CN" w:bidi="ar-SA"/>
    </w:rPr>
  </w:style>
  <w:style w:type="character" w:styleId="44">
    <w:name w:val="HTML Definition"/>
    <w:uiPriority w:val="99"/>
  </w:style>
  <w:style w:type="character" w:styleId="45">
    <w:name w:val="HTML Typewriter"/>
    <w:uiPriority w:val="0"/>
    <w:rPr>
      <w:rFonts w:ascii="宋体" w:hAnsi="宋体" w:eastAsia="宋体" w:cs="宋体"/>
      <w:bCs/>
      <w:sz w:val="24"/>
      <w:szCs w:val="24"/>
      <w:lang w:val="en-US" w:eastAsia="zh-CN" w:bidi="ar-SA"/>
    </w:rPr>
  </w:style>
  <w:style w:type="character" w:styleId="46">
    <w:name w:val="HTML Acronym"/>
    <w:uiPriority w:val="99"/>
  </w:style>
  <w:style w:type="character" w:styleId="47">
    <w:name w:val="HTML Variable"/>
    <w:uiPriority w:val="99"/>
  </w:style>
  <w:style w:type="character" w:styleId="48">
    <w:name w:val="Hyperlink"/>
    <w:qFormat/>
    <w:uiPriority w:val="99"/>
    <w:rPr>
      <w:color w:val="0000FF"/>
      <w:u w:val="none"/>
    </w:rPr>
  </w:style>
  <w:style w:type="character" w:styleId="49">
    <w:name w:val="HTML Code"/>
    <w:uiPriority w:val="99"/>
    <w:rPr>
      <w:rFonts w:hint="default" w:ascii="monospace" w:hAnsi="monospace" w:eastAsia="monospace" w:cs="monospace"/>
      <w:sz w:val="20"/>
    </w:rPr>
  </w:style>
  <w:style w:type="character" w:styleId="50">
    <w:name w:val="annotation reference"/>
    <w:qFormat/>
    <w:uiPriority w:val="0"/>
    <w:rPr>
      <w:sz w:val="21"/>
      <w:szCs w:val="21"/>
    </w:rPr>
  </w:style>
  <w:style w:type="character" w:styleId="51">
    <w:name w:val="HTML Cite"/>
    <w:uiPriority w:val="99"/>
  </w:style>
  <w:style w:type="character" w:styleId="52">
    <w:name w:val="HTML Keyboard"/>
    <w:uiPriority w:val="99"/>
    <w:rPr>
      <w:rFonts w:hint="default" w:ascii="monospace" w:hAnsi="monospace" w:eastAsia="monospace" w:cs="monospace"/>
      <w:sz w:val="20"/>
    </w:rPr>
  </w:style>
  <w:style w:type="character" w:styleId="53">
    <w:name w:val="HTML Sample"/>
    <w:uiPriority w:val="99"/>
    <w:rPr>
      <w:rFonts w:hint="default" w:ascii="monospace" w:hAnsi="monospace" w:eastAsia="monospace" w:cs="monospace"/>
    </w:rPr>
  </w:style>
  <w:style w:type="character" w:customStyle="1" w:styleId="54">
    <w:name w:val="标题 1 Char"/>
    <w:link w:val="5"/>
    <w:uiPriority w:val="0"/>
    <w:rPr>
      <w:rFonts w:ascii="Times New Roman" w:hAnsi="Times New Roman" w:eastAsia="仿宋"/>
      <w:b/>
      <w:bCs/>
      <w:kern w:val="44"/>
      <w:sz w:val="28"/>
      <w:szCs w:val="44"/>
    </w:rPr>
  </w:style>
  <w:style w:type="character" w:customStyle="1" w:styleId="55">
    <w:name w:val="标题 2 Char"/>
    <w:link w:val="6"/>
    <w:uiPriority w:val="9"/>
    <w:rPr>
      <w:rFonts w:ascii="Cambria" w:hAnsi="Cambria" w:eastAsia="宋体" w:cs="Times New Roman"/>
      <w:b/>
      <w:bCs/>
      <w:kern w:val="2"/>
      <w:sz w:val="32"/>
      <w:szCs w:val="32"/>
    </w:rPr>
  </w:style>
  <w:style w:type="character" w:customStyle="1" w:styleId="56">
    <w:name w:val="标题 3 Char"/>
    <w:link w:val="7"/>
    <w:uiPriority w:val="0"/>
    <w:rPr>
      <w:rFonts w:ascii="Times New Roman" w:hAnsi="Times New Roman"/>
      <w:b/>
      <w:bCs/>
      <w:sz w:val="32"/>
      <w:szCs w:val="32"/>
    </w:rPr>
  </w:style>
  <w:style w:type="character" w:customStyle="1" w:styleId="57">
    <w:name w:val="标题 4 Char"/>
    <w:link w:val="8"/>
    <w:uiPriority w:val="9"/>
    <w:rPr>
      <w:rFonts w:ascii="Times New Roman" w:hAnsi="Times New Roman" w:eastAsia="新宋体"/>
      <w:sz w:val="30"/>
      <w:szCs w:val="21"/>
    </w:rPr>
  </w:style>
  <w:style w:type="character" w:customStyle="1" w:styleId="58">
    <w:name w:val="标题 5 Char"/>
    <w:link w:val="9"/>
    <w:uiPriority w:val="0"/>
    <w:rPr>
      <w:rFonts w:ascii="Times New Roman" w:hAnsi="Times New Roman"/>
      <w:b/>
      <w:bCs/>
      <w:sz w:val="28"/>
      <w:szCs w:val="28"/>
    </w:rPr>
  </w:style>
  <w:style w:type="character" w:customStyle="1" w:styleId="59">
    <w:name w:val="标题 6 Char"/>
    <w:link w:val="10"/>
    <w:uiPriority w:val="0"/>
    <w:rPr>
      <w:rFonts w:ascii="Times New Roman" w:hAnsi="Times New Roman"/>
      <w:b/>
      <w:sz w:val="44"/>
    </w:rPr>
  </w:style>
  <w:style w:type="character" w:customStyle="1" w:styleId="60">
    <w:name w:val="正文缩进 Char"/>
    <w:link w:val="11"/>
    <w:uiPriority w:val="0"/>
    <w:rPr>
      <w:rFonts w:ascii="Times New Roman" w:hAnsi="Times New Roman"/>
      <w:sz w:val="24"/>
      <w:szCs w:val="24"/>
    </w:rPr>
  </w:style>
  <w:style w:type="character" w:customStyle="1" w:styleId="61">
    <w:name w:val="标题 7 Char"/>
    <w:link w:val="12"/>
    <w:uiPriority w:val="0"/>
    <w:rPr>
      <w:rFonts w:ascii="Times New Roman" w:hAnsi="Times New Roman"/>
      <w:b/>
      <w:bCs/>
      <w:sz w:val="24"/>
      <w:szCs w:val="24"/>
    </w:rPr>
  </w:style>
  <w:style w:type="character" w:customStyle="1" w:styleId="62">
    <w:name w:val="标题 8 Char"/>
    <w:link w:val="13"/>
    <w:uiPriority w:val="0"/>
    <w:rPr>
      <w:rFonts w:ascii="Arial" w:hAnsi="Arial" w:eastAsia="黑体"/>
      <w:sz w:val="24"/>
      <w:szCs w:val="24"/>
    </w:rPr>
  </w:style>
  <w:style w:type="character" w:customStyle="1" w:styleId="63">
    <w:name w:val="标题 9 Char"/>
    <w:link w:val="14"/>
    <w:uiPriority w:val="0"/>
    <w:rPr>
      <w:rFonts w:ascii="Arial" w:hAnsi="Arial" w:eastAsia="黑体"/>
      <w:sz w:val="24"/>
      <w:szCs w:val="21"/>
    </w:rPr>
  </w:style>
  <w:style w:type="character" w:customStyle="1" w:styleId="64">
    <w:name w:val="文档结构图 Char"/>
    <w:link w:val="15"/>
    <w:uiPriority w:val="0"/>
    <w:rPr>
      <w:szCs w:val="24"/>
      <w:shd w:val="clear" w:color="auto" w:fill="000080"/>
    </w:rPr>
  </w:style>
  <w:style w:type="character" w:customStyle="1" w:styleId="65">
    <w:name w:val="批注文字 Char"/>
    <w:link w:val="16"/>
    <w:qFormat/>
    <w:uiPriority w:val="0"/>
    <w:rPr>
      <w:rFonts w:ascii="Times New Roman" w:hAnsi="Times New Roman"/>
      <w:kern w:val="2"/>
      <w:sz w:val="21"/>
      <w:szCs w:val="24"/>
    </w:rPr>
  </w:style>
  <w:style w:type="character" w:customStyle="1" w:styleId="66">
    <w:name w:val="正文文本 3 Char"/>
    <w:link w:val="17"/>
    <w:uiPriority w:val="0"/>
    <w:rPr>
      <w:rFonts w:ascii="Times New Roman" w:hAnsi="Times New Roman"/>
      <w:sz w:val="16"/>
      <w:szCs w:val="16"/>
    </w:rPr>
  </w:style>
  <w:style w:type="character" w:customStyle="1" w:styleId="67">
    <w:name w:val="正文文本 Char"/>
    <w:link w:val="18"/>
    <w:uiPriority w:val="0"/>
    <w:rPr>
      <w:rFonts w:ascii="Times New Roman" w:hAnsi="Times New Roman"/>
      <w:kern w:val="2"/>
      <w:sz w:val="21"/>
      <w:szCs w:val="24"/>
    </w:rPr>
  </w:style>
  <w:style w:type="character" w:customStyle="1" w:styleId="68">
    <w:name w:val="正文文本缩进 Char"/>
    <w:link w:val="19"/>
    <w:uiPriority w:val="0"/>
    <w:rPr>
      <w:rFonts w:ascii="Times New Roman" w:hAnsi="Times New Roman"/>
      <w:kern w:val="2"/>
      <w:sz w:val="21"/>
      <w:szCs w:val="24"/>
    </w:rPr>
  </w:style>
  <w:style w:type="character" w:customStyle="1" w:styleId="69">
    <w:name w:val="纯文本 Char"/>
    <w:link w:val="21"/>
    <w:uiPriority w:val="0"/>
    <w:rPr>
      <w:rFonts w:ascii="宋体" w:hAnsi="Courier New" w:cs="Courier New"/>
      <w:kern w:val="2"/>
      <w:sz w:val="21"/>
      <w:szCs w:val="21"/>
    </w:rPr>
  </w:style>
  <w:style w:type="character" w:customStyle="1" w:styleId="70">
    <w:name w:val="日期 Char"/>
    <w:link w:val="22"/>
    <w:uiPriority w:val="0"/>
    <w:rPr>
      <w:rFonts w:ascii="Times New Roman" w:hAnsi="Times New Roman"/>
      <w:sz w:val="24"/>
    </w:rPr>
  </w:style>
  <w:style w:type="character" w:customStyle="1" w:styleId="71">
    <w:name w:val="正文文本缩进 2 Char"/>
    <w:link w:val="23"/>
    <w:uiPriority w:val="0"/>
    <w:rPr>
      <w:rFonts w:ascii="Times New Roman" w:hAnsi="Times New Roman" w:eastAsia="宋体" w:cs="Times New Roman"/>
      <w:szCs w:val="24"/>
    </w:rPr>
  </w:style>
  <w:style w:type="character" w:customStyle="1" w:styleId="72">
    <w:name w:val="批注框文本 Char"/>
    <w:link w:val="24"/>
    <w:qFormat/>
    <w:uiPriority w:val="99"/>
    <w:rPr>
      <w:rFonts w:ascii="Times New Roman" w:hAnsi="Times New Roman"/>
      <w:kern w:val="2"/>
      <w:sz w:val="18"/>
      <w:szCs w:val="18"/>
    </w:rPr>
  </w:style>
  <w:style w:type="character" w:customStyle="1" w:styleId="73">
    <w:name w:val="页脚 Char"/>
    <w:link w:val="25"/>
    <w:uiPriority w:val="99"/>
    <w:rPr>
      <w:rFonts w:ascii="Times New Roman" w:hAnsi="Times New Roman"/>
      <w:kern w:val="2"/>
      <w:sz w:val="18"/>
      <w:szCs w:val="18"/>
    </w:rPr>
  </w:style>
  <w:style w:type="character" w:customStyle="1" w:styleId="74">
    <w:name w:val="页眉 Char"/>
    <w:link w:val="26"/>
    <w:uiPriority w:val="0"/>
    <w:rPr>
      <w:rFonts w:ascii="Times New Roman" w:hAnsi="Times New Roman"/>
      <w:kern w:val="2"/>
      <w:sz w:val="18"/>
      <w:szCs w:val="18"/>
    </w:rPr>
  </w:style>
  <w:style w:type="character" w:customStyle="1" w:styleId="75">
    <w:name w:val="正文文本缩进 3 Char"/>
    <w:link w:val="29"/>
    <w:uiPriority w:val="0"/>
    <w:rPr>
      <w:rFonts w:ascii="Times New Roman" w:hAnsi="Times New Roman"/>
      <w:sz w:val="16"/>
      <w:szCs w:val="16"/>
    </w:rPr>
  </w:style>
  <w:style w:type="character" w:customStyle="1" w:styleId="76">
    <w:name w:val="正文文本 2 Char"/>
    <w:link w:val="30"/>
    <w:uiPriority w:val="0"/>
    <w:rPr>
      <w:rFonts w:ascii="Times New Roman" w:hAnsi="Times New Roman"/>
      <w:b/>
      <w:bCs/>
      <w:sz w:val="18"/>
      <w:szCs w:val="24"/>
    </w:rPr>
  </w:style>
  <w:style w:type="character" w:customStyle="1" w:styleId="77">
    <w:name w:val="HTML 预设格式 Char"/>
    <w:link w:val="31"/>
    <w:uiPriority w:val="0"/>
    <w:rPr>
      <w:rFonts w:ascii="Arial" w:hAnsi="Arial" w:cs="Arial"/>
      <w:sz w:val="24"/>
      <w:szCs w:val="24"/>
    </w:rPr>
  </w:style>
  <w:style w:type="character" w:customStyle="1" w:styleId="78">
    <w:name w:val="标题 Char"/>
    <w:link w:val="33"/>
    <w:uiPriority w:val="0"/>
    <w:rPr>
      <w:rFonts w:ascii="Arial" w:hAnsi="Arial" w:cs="Arial"/>
      <w:b/>
      <w:bCs/>
      <w:sz w:val="32"/>
      <w:szCs w:val="32"/>
    </w:rPr>
  </w:style>
  <w:style w:type="character" w:customStyle="1" w:styleId="79">
    <w:name w:val="批注主题 Char"/>
    <w:link w:val="34"/>
    <w:qFormat/>
    <w:uiPriority w:val="0"/>
    <w:rPr>
      <w:rFonts w:ascii="Times New Roman" w:hAnsi="Times New Roman"/>
      <w:b/>
      <w:bCs/>
      <w:kern w:val="2"/>
      <w:sz w:val="21"/>
      <w:szCs w:val="24"/>
    </w:rPr>
  </w:style>
  <w:style w:type="character" w:customStyle="1" w:styleId="80">
    <w:name w:val="正文首行缩进 Char"/>
    <w:link w:val="35"/>
    <w:uiPriority w:val="0"/>
    <w:rPr>
      <w:rFonts w:ascii="Times New Roman" w:hAnsi="Times New Roman"/>
      <w:sz w:val="24"/>
      <w:szCs w:val="24"/>
    </w:rPr>
  </w:style>
  <w:style w:type="character" w:customStyle="1" w:styleId="81">
    <w:name w:val="short_text1"/>
    <w:uiPriority w:val="0"/>
    <w:rPr>
      <w:rFonts w:ascii="黑体" w:hAnsi="黑体" w:eastAsia="黑体"/>
      <w:bCs/>
      <w:sz w:val="29"/>
      <w:szCs w:val="29"/>
      <w:lang w:val="en-US" w:eastAsia="zh-CN" w:bidi="ar-SA"/>
    </w:rPr>
  </w:style>
  <w:style w:type="character" w:customStyle="1" w:styleId="82">
    <w:name w:val="point_normal1"/>
    <w:uiPriority w:val="0"/>
    <w:rPr>
      <w:rFonts w:hint="default" w:ascii="Arial" w:hAnsi="Arial" w:cs="Arial"/>
      <w:sz w:val="16"/>
      <w:szCs w:val="16"/>
    </w:rPr>
  </w:style>
  <w:style w:type="character" w:customStyle="1" w:styleId="83">
    <w:name w:val="样式 仿宋"/>
    <w:uiPriority w:val="0"/>
    <w:rPr>
      <w:rFonts w:ascii="仿宋" w:hAnsi="仿宋" w:eastAsia="仿宋"/>
      <w:kern w:val="1"/>
    </w:rPr>
  </w:style>
  <w:style w:type="character" w:customStyle="1" w:styleId="84">
    <w:name w:val="ssss Char1"/>
    <w:link w:val="85"/>
    <w:qFormat/>
    <w:uiPriority w:val="0"/>
    <w:rPr>
      <w:rFonts w:ascii="Times New Roman" w:hAnsi="Times New Roman"/>
      <w:sz w:val="24"/>
      <w:szCs w:val="24"/>
    </w:rPr>
  </w:style>
  <w:style w:type="paragraph" w:customStyle="1" w:styleId="85">
    <w:name w:val="ssss"/>
    <w:basedOn w:val="1"/>
    <w:link w:val="84"/>
    <w:uiPriority w:val="0"/>
    <w:pPr>
      <w:spacing w:line="360" w:lineRule="auto"/>
      <w:ind w:firstLine="480" w:firstLineChars="200"/>
    </w:pPr>
    <w:rPr>
      <w:kern w:val="0"/>
      <w:sz w:val="24"/>
    </w:rPr>
  </w:style>
  <w:style w:type="character" w:customStyle="1" w:styleId="86">
    <w:name w:val="标题 Char1"/>
    <w:uiPriority w:val="10"/>
    <w:rPr>
      <w:rFonts w:ascii="Cambria" w:hAnsi="Cambria" w:cs="Times New Roman"/>
      <w:b/>
      <w:bCs/>
      <w:kern w:val="2"/>
      <w:sz w:val="32"/>
      <w:szCs w:val="32"/>
    </w:rPr>
  </w:style>
  <w:style w:type="character" w:customStyle="1" w:styleId="87">
    <w:name w:val="ssss Char"/>
    <w:qFormat/>
    <w:uiPriority w:val="0"/>
    <w:rPr>
      <w:rFonts w:eastAsia="宋体"/>
      <w:kern w:val="2"/>
      <w:sz w:val="24"/>
      <w:szCs w:val="24"/>
      <w:lang w:val="en-US" w:eastAsia="zh-CN" w:bidi="ar-SA"/>
    </w:rPr>
  </w:style>
  <w:style w:type="character" w:customStyle="1" w:styleId="88">
    <w:name w:val="文档结构图 Char1"/>
    <w:qFormat/>
    <w:uiPriority w:val="99"/>
    <w:rPr>
      <w:rFonts w:ascii="宋体" w:hAnsi="Times New Roman"/>
      <w:kern w:val="2"/>
      <w:sz w:val="18"/>
      <w:szCs w:val="18"/>
    </w:rPr>
  </w:style>
  <w:style w:type="character" w:customStyle="1" w:styleId="89">
    <w:name w:val="正文缩进2格 Char"/>
    <w:link w:val="90"/>
    <w:uiPriority w:val="0"/>
    <w:rPr>
      <w:rFonts w:ascii="仿宋_GB2312" w:hAnsi="宋体" w:eastAsia="仿宋_GB2312"/>
      <w:sz w:val="31"/>
      <w:szCs w:val="28"/>
    </w:rPr>
  </w:style>
  <w:style w:type="paragraph" w:customStyle="1" w:styleId="90">
    <w:name w:val="正文缩进2格"/>
    <w:basedOn w:val="1"/>
    <w:link w:val="89"/>
    <w:qFormat/>
    <w:uiPriority w:val="0"/>
    <w:pPr>
      <w:spacing w:line="600" w:lineRule="exact"/>
      <w:ind w:firstLine="639" w:firstLineChars="206"/>
    </w:pPr>
    <w:rPr>
      <w:rFonts w:ascii="仿宋_GB2312" w:hAnsi="宋体" w:eastAsia="仿宋_GB2312"/>
      <w:kern w:val="0"/>
      <w:sz w:val="31"/>
      <w:szCs w:val="28"/>
    </w:rPr>
  </w:style>
  <w:style w:type="character" w:customStyle="1" w:styleId="91">
    <w:name w:val="f1"/>
    <w:uiPriority w:val="0"/>
    <w:rPr>
      <w:rFonts w:ascii="黑体" w:hAnsi="黑体" w:eastAsia="黑体"/>
      <w:bCs/>
      <w:color w:val="666666"/>
      <w:sz w:val="21"/>
      <w:szCs w:val="21"/>
      <w:lang w:val="en-US" w:eastAsia="zh-CN" w:bidi="ar-SA"/>
    </w:rPr>
  </w:style>
  <w:style w:type="character" w:customStyle="1" w:styleId="92">
    <w:name w:val="日期 Char1"/>
    <w:qFormat/>
    <w:uiPriority w:val="99"/>
    <w:rPr>
      <w:rFonts w:ascii="Times New Roman" w:hAnsi="Times New Roman"/>
      <w:kern w:val="2"/>
      <w:sz w:val="21"/>
      <w:szCs w:val="24"/>
    </w:rPr>
  </w:style>
  <w:style w:type="character" w:customStyle="1" w:styleId="93">
    <w:name w:val="正文文本 3 Char1"/>
    <w:qFormat/>
    <w:uiPriority w:val="99"/>
    <w:rPr>
      <w:rFonts w:ascii="Times New Roman" w:hAnsi="Times New Roman"/>
      <w:kern w:val="2"/>
      <w:sz w:val="16"/>
      <w:szCs w:val="16"/>
    </w:rPr>
  </w:style>
  <w:style w:type="character" w:customStyle="1" w:styleId="94">
    <w:name w:val="cn_text1"/>
    <w:qFormat/>
    <w:uiPriority w:val="0"/>
    <w:rPr>
      <w:rFonts w:hint="default" w:ascii="ˎ̥" w:hAnsi="ˎ̥"/>
      <w:color w:val="003399"/>
      <w:spacing w:val="15"/>
      <w:sz w:val="18"/>
      <w:szCs w:val="18"/>
    </w:rPr>
  </w:style>
  <w:style w:type="character" w:customStyle="1" w:styleId="95">
    <w:name w:val="正文文本缩进 3 Char1"/>
    <w:qFormat/>
    <w:uiPriority w:val="99"/>
    <w:rPr>
      <w:rFonts w:ascii="Times New Roman" w:hAnsi="Times New Roman"/>
      <w:kern w:val="2"/>
      <w:sz w:val="16"/>
      <w:szCs w:val="16"/>
    </w:rPr>
  </w:style>
  <w:style w:type="character" w:customStyle="1" w:styleId="96">
    <w:name w:val="样式 正文文本 + Char"/>
    <w:link w:val="97"/>
    <w:uiPriority w:val="0"/>
    <w:rPr>
      <w:rFonts w:ascii="Times New Roman" w:hAnsi="Times New Roman"/>
      <w:szCs w:val="19"/>
    </w:rPr>
  </w:style>
  <w:style w:type="paragraph" w:customStyle="1" w:styleId="97">
    <w:name w:val="样式 正文文本 +"/>
    <w:basedOn w:val="18"/>
    <w:link w:val="96"/>
    <w:uiPriority w:val="0"/>
    <w:pPr>
      <w:spacing w:after="0" w:line="360" w:lineRule="exact"/>
    </w:pPr>
    <w:rPr>
      <w:kern w:val="0"/>
      <w:sz w:val="20"/>
      <w:szCs w:val="19"/>
    </w:rPr>
  </w:style>
  <w:style w:type="character" w:customStyle="1" w:styleId="98">
    <w:name w:val="标题 4 Char1"/>
    <w:qFormat/>
    <w:uiPriority w:val="0"/>
    <w:rPr>
      <w:rFonts w:ascii="Arial" w:hAnsi="Arial" w:eastAsia="黑体"/>
      <w:b/>
      <w:bCs/>
      <w:kern w:val="2"/>
      <w:sz w:val="28"/>
      <w:szCs w:val="28"/>
      <w:lang w:val="en-US" w:eastAsia="zh-CN" w:bidi="ar-SA"/>
    </w:rPr>
  </w:style>
  <w:style w:type="character" w:customStyle="1" w:styleId="99">
    <w:name w:val="发布"/>
    <w:uiPriority w:val="0"/>
    <w:rPr>
      <w:rFonts w:ascii="黑体" w:hAnsi="黑体" w:eastAsia="黑体"/>
      <w:bCs/>
      <w:spacing w:val="22"/>
      <w:w w:val="100"/>
      <w:position w:val="3"/>
      <w:sz w:val="28"/>
      <w:szCs w:val="21"/>
      <w:lang w:val="en-US" w:eastAsia="zh-CN" w:bidi="ar-SA"/>
    </w:rPr>
  </w:style>
  <w:style w:type="character" w:customStyle="1" w:styleId="100">
    <w:name w:val="样式 标题 1 + 黑体 五号 Char"/>
    <w:link w:val="101"/>
    <w:qFormat/>
    <w:uiPriority w:val="99"/>
    <w:rPr>
      <w:rFonts w:ascii="黑体" w:hAnsi="黑体" w:eastAsia="黑体"/>
    </w:rPr>
  </w:style>
  <w:style w:type="paragraph" w:customStyle="1" w:styleId="101">
    <w:name w:val="样式 标题 1 + 黑体 五号"/>
    <w:basedOn w:val="5"/>
    <w:link w:val="100"/>
    <w:qFormat/>
    <w:uiPriority w:val="99"/>
    <w:pPr>
      <w:keepLines w:val="0"/>
      <w:numPr>
        <w:ilvl w:val="0"/>
        <w:numId w:val="1"/>
      </w:numPr>
      <w:tabs>
        <w:tab w:val="left" w:pos="360"/>
      </w:tabs>
      <w:spacing w:beforeLines="50" w:afterLines="50" w:line="360" w:lineRule="exact"/>
    </w:pPr>
    <w:rPr>
      <w:rFonts w:ascii="黑体" w:hAnsi="黑体" w:eastAsia="黑体"/>
      <w:b w:val="0"/>
      <w:bCs w:val="0"/>
      <w:kern w:val="0"/>
      <w:sz w:val="20"/>
      <w:szCs w:val="20"/>
    </w:rPr>
  </w:style>
  <w:style w:type="character" w:customStyle="1" w:styleId="102">
    <w:name w:val="批注文字 Char1"/>
    <w:uiPriority w:val="99"/>
    <w:rPr>
      <w:rFonts w:ascii="Times New Roman" w:hAnsi="Times New Roman" w:eastAsia="宋体" w:cs="Times New Roman"/>
      <w:szCs w:val="24"/>
    </w:rPr>
  </w:style>
  <w:style w:type="character" w:customStyle="1" w:styleId="103">
    <w:name w:val="普通正文 Char"/>
    <w:link w:val="104"/>
    <w:uiPriority w:val="0"/>
    <w:rPr>
      <w:rFonts w:ascii="Arial" w:hAnsi="Arial"/>
      <w:sz w:val="24"/>
      <w:szCs w:val="24"/>
    </w:rPr>
  </w:style>
  <w:style w:type="paragraph" w:customStyle="1" w:styleId="104">
    <w:name w:val="普通正文"/>
    <w:basedOn w:val="1"/>
    <w:link w:val="103"/>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105">
    <w:name w:val="HTML 预设格式 Char1"/>
    <w:uiPriority w:val="99"/>
    <w:rPr>
      <w:rFonts w:ascii="Courier New" w:hAnsi="Courier New" w:cs="Courier New"/>
      <w:kern w:val="2"/>
    </w:rPr>
  </w:style>
  <w:style w:type="character" w:customStyle="1" w:styleId="106">
    <w:name w:val="无间隔 Char"/>
    <w:link w:val="107"/>
    <w:uiPriority w:val="1"/>
  </w:style>
  <w:style w:type="paragraph" w:styleId="107">
    <w:name w:val="No Spacing"/>
    <w:basedOn w:val="1"/>
    <w:link w:val="106"/>
    <w:qFormat/>
    <w:uiPriority w:val="1"/>
    <w:rPr>
      <w:rFonts w:ascii="Calibri" w:hAnsi="Calibri"/>
      <w:kern w:val="0"/>
      <w:sz w:val="20"/>
      <w:szCs w:val="20"/>
    </w:rPr>
  </w:style>
  <w:style w:type="character" w:customStyle="1" w:styleId="108">
    <w:name w:val="FA正文 Char"/>
    <w:link w:val="109"/>
    <w:uiPriority w:val="0"/>
    <w:rPr>
      <w:rFonts w:ascii="宋体" w:hAnsi="宋体"/>
      <w:sz w:val="28"/>
      <w:szCs w:val="28"/>
    </w:rPr>
  </w:style>
  <w:style w:type="paragraph" w:customStyle="1" w:styleId="109">
    <w:name w:val="FA正文"/>
    <w:basedOn w:val="1"/>
    <w:link w:val="108"/>
    <w:uiPriority w:val="0"/>
    <w:pPr>
      <w:tabs>
        <w:tab w:val="left" w:pos="3375"/>
      </w:tabs>
      <w:spacing w:line="440" w:lineRule="atLeast"/>
      <w:ind w:firstLine="538" w:firstLineChars="192"/>
    </w:pPr>
    <w:rPr>
      <w:rFonts w:ascii="宋体" w:hAnsi="宋体"/>
      <w:kern w:val="0"/>
      <w:sz w:val="28"/>
      <w:szCs w:val="28"/>
    </w:rPr>
  </w:style>
  <w:style w:type="character" w:customStyle="1" w:styleId="110">
    <w:name w:val="正文首行缩进 Char1"/>
    <w:uiPriority w:val="99"/>
  </w:style>
  <w:style w:type="character" w:customStyle="1" w:styleId="111">
    <w:name w:val="纯文本 Char1"/>
    <w:uiPriority w:val="99"/>
    <w:rPr>
      <w:rFonts w:ascii="宋体" w:hAnsi="Courier New" w:cs="Courier New"/>
      <w:kern w:val="2"/>
      <w:sz w:val="21"/>
      <w:szCs w:val="21"/>
    </w:rPr>
  </w:style>
  <w:style w:type="character" w:customStyle="1" w:styleId="112">
    <w:name w:val="正文文本 2 Char1"/>
    <w:uiPriority w:val="99"/>
    <w:rPr>
      <w:rFonts w:ascii="Times New Roman" w:hAnsi="Times New Roman"/>
      <w:kern w:val="2"/>
      <w:sz w:val="21"/>
      <w:szCs w:val="24"/>
    </w:rPr>
  </w:style>
  <w:style w:type="character" w:customStyle="1" w:styleId="113">
    <w:name w:val="def"/>
    <w:uiPriority w:val="0"/>
  </w:style>
  <w:style w:type="character" w:customStyle="1" w:styleId="114">
    <w:name w:val="样式 ssss + 宋体 五号1 Char"/>
    <w:link w:val="115"/>
    <w:uiPriority w:val="0"/>
    <w:rPr>
      <w:rFonts w:ascii="宋体" w:hAnsi="宋体"/>
      <w:sz w:val="24"/>
      <w:szCs w:val="24"/>
    </w:rPr>
  </w:style>
  <w:style w:type="paragraph" w:customStyle="1" w:styleId="115">
    <w:name w:val="样式 ssss + 宋体 五号1"/>
    <w:basedOn w:val="85"/>
    <w:link w:val="114"/>
    <w:uiPriority w:val="0"/>
    <w:rPr>
      <w:rFonts w:ascii="宋体" w:hAnsi="宋体"/>
    </w:rPr>
  </w:style>
  <w:style w:type="character" w:customStyle="1" w:styleId="116">
    <w:name w:val="A4"/>
    <w:uiPriority w:val="0"/>
    <w:rPr>
      <w:rFonts w:hint="eastAsia" w:ascii="新宋体" w:hAnsi="新宋体" w:eastAsia="新宋体" w:cs="新宋体"/>
      <w:color w:val="000000"/>
    </w:rPr>
  </w:style>
  <w:style w:type="paragraph" w:customStyle="1" w:styleId="117">
    <w:name w:val="p0"/>
    <w:basedOn w:val="1"/>
    <w:uiPriority w:val="0"/>
    <w:pPr>
      <w:widowControl/>
      <w:jc w:val="left"/>
    </w:pPr>
    <w:rPr>
      <w:kern w:val="0"/>
      <w:szCs w:val="21"/>
    </w:rPr>
  </w:style>
  <w:style w:type="paragraph" w:customStyle="1" w:styleId="118">
    <w:name w:val="Char Char Char Char"/>
    <w:basedOn w:val="1"/>
    <w:uiPriority w:val="0"/>
    <w:rPr>
      <w:rFonts w:ascii="Tahoma" w:hAnsi="Tahoma"/>
      <w:sz w:val="24"/>
      <w:szCs w:val="20"/>
    </w:rPr>
  </w:style>
  <w:style w:type="paragraph" w:customStyle="1" w:styleId="119">
    <w:name w:val="GB-1.1"/>
    <w:uiPriority w:val="0"/>
    <w:pPr>
      <w:outlineLvl w:val="1"/>
    </w:pPr>
    <w:rPr>
      <w:rFonts w:ascii="黑体" w:hAnsi="宋体" w:eastAsia="黑体" w:cs="Times New Roman"/>
      <w:sz w:val="21"/>
      <w:lang w:val="en-US" w:eastAsia="zh-CN" w:bidi="ar-SA"/>
    </w:rPr>
  </w:style>
  <w:style w:type="paragraph" w:customStyle="1" w:styleId="120">
    <w:name w:val="正文样式1"/>
    <w:basedOn w:val="1"/>
    <w:uiPriority w:val="0"/>
    <w:pPr>
      <w:spacing w:before="120" w:after="120" w:line="360" w:lineRule="auto"/>
      <w:ind w:firstLine="480" w:firstLineChars="200"/>
    </w:pPr>
    <w:rPr>
      <w:sz w:val="24"/>
      <w:szCs w:val="20"/>
    </w:rPr>
  </w:style>
  <w:style w:type="paragraph" w:customStyle="1" w:styleId="121">
    <w:name w:val="Char Char 字元 字元 字元 Char Char Char Char"/>
    <w:basedOn w:val="1"/>
    <w:uiPriority w:val="0"/>
    <w:pPr>
      <w:adjustRightInd w:val="0"/>
      <w:spacing w:line="360" w:lineRule="auto"/>
    </w:pPr>
    <w:rPr>
      <w:kern w:val="0"/>
      <w:sz w:val="24"/>
      <w:szCs w:val="20"/>
    </w:rPr>
  </w:style>
  <w:style w:type="paragraph" w:customStyle="1" w:styleId="122">
    <w:name w:val="标题-----3"/>
    <w:basedOn w:val="7"/>
    <w:uiPriority w:val="0"/>
    <w:pPr>
      <w:spacing w:before="0" w:after="0" w:line="240" w:lineRule="auto"/>
      <w:outlineLvl w:val="0"/>
    </w:pPr>
    <w:rPr>
      <w:rFonts w:ascii="宋体" w:hAnsi="宋体"/>
      <w:b w:val="0"/>
      <w:bCs w:val="0"/>
      <w:sz w:val="28"/>
      <w:szCs w:val="28"/>
    </w:rPr>
  </w:style>
  <w:style w:type="paragraph" w:customStyle="1" w:styleId="123">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124">
    <w:name w:val="Default"/>
    <w:qFormat/>
    <w:uiPriority w:val="0"/>
    <w:pPr>
      <w:widowControl w:val="0"/>
      <w:autoSpaceDE w:val="0"/>
      <w:autoSpaceDN w:val="0"/>
      <w:adjustRightInd w:val="0"/>
    </w:pPr>
    <w:rPr>
      <w:rFonts w:ascii="KOCJL A+ Avenir LT Std" w:hAnsi="Times New Roman" w:eastAsia="KOCJL A+ Avenir LT Std" w:cs="KOCJL A+ Avenir LT Std"/>
      <w:color w:val="000000"/>
      <w:sz w:val="24"/>
      <w:szCs w:val="24"/>
      <w:lang w:val="en-US" w:eastAsia="zh-CN" w:bidi="ar-SA"/>
    </w:rPr>
  </w:style>
  <w:style w:type="paragraph" w:customStyle="1" w:styleId="125">
    <w:name w:val="列出段落1"/>
    <w:basedOn w:val="1"/>
    <w:qFormat/>
    <w:uiPriority w:val="34"/>
    <w:pPr>
      <w:ind w:firstLine="420" w:firstLineChars="200"/>
    </w:pPr>
    <w:rPr>
      <w:rFonts w:ascii="Calibri" w:hAnsi="Calibri"/>
      <w:szCs w:val="22"/>
    </w:rPr>
  </w:style>
  <w:style w:type="paragraph" w:customStyle="1" w:styleId="126">
    <w:name w:val="样式1 程继雄"/>
    <w:basedOn w:val="1"/>
    <w:qFormat/>
    <w:uiPriority w:val="0"/>
    <w:pPr>
      <w:adjustRightInd w:val="0"/>
      <w:snapToGrid w:val="0"/>
      <w:spacing w:line="365" w:lineRule="auto"/>
      <w:ind w:firstLine="600" w:firstLineChars="200"/>
    </w:pPr>
    <w:rPr>
      <w:rFonts w:ascii="仿宋_GB2312" w:hAnsi="黑体" w:eastAsia="仿宋_GB2312"/>
      <w:sz w:val="30"/>
      <w:szCs w:val="21"/>
    </w:rPr>
  </w:style>
  <w:style w:type="paragraph" w:customStyle="1" w:styleId="127">
    <w:name w:val="样式 样式 ssss + 宋体 五号 + 首行缩进:  2 字符"/>
    <w:basedOn w:val="128"/>
    <w:uiPriority w:val="0"/>
    <w:pPr>
      <w:ind w:firstLine="480"/>
    </w:pPr>
  </w:style>
  <w:style w:type="paragraph" w:customStyle="1" w:styleId="128">
    <w:name w:val="样式 ssss + 宋体 五号"/>
    <w:basedOn w:val="85"/>
    <w:uiPriority w:val="0"/>
    <w:pPr>
      <w:ind w:firstLine="420"/>
    </w:pPr>
    <w:rPr>
      <w:rFonts w:ascii="宋体" w:hAnsi="宋体" w:cs="宋体"/>
      <w:szCs w:val="20"/>
    </w:rPr>
  </w:style>
  <w:style w:type="paragraph" w:customStyle="1" w:styleId="129">
    <w:name w:val="_Style 6"/>
    <w:basedOn w:val="1"/>
    <w:qFormat/>
    <w:uiPriority w:val="34"/>
    <w:pPr>
      <w:ind w:firstLine="420" w:firstLineChars="200"/>
    </w:pPr>
    <w:rPr>
      <w:szCs w:val="21"/>
    </w:rPr>
  </w:style>
  <w:style w:type="paragraph" w:customStyle="1" w:styleId="130">
    <w:name w:val="TOC Heading"/>
    <w:basedOn w:val="5"/>
    <w:next w:val="1"/>
    <w:qFormat/>
    <w:uiPriority w:val="39"/>
    <w:pPr>
      <w:widowControl/>
      <w:spacing w:before="480" w:line="276" w:lineRule="auto"/>
      <w:jc w:val="left"/>
      <w:outlineLvl w:val="9"/>
    </w:pPr>
    <w:rPr>
      <w:rFonts w:ascii="Cambria" w:hAnsi="Cambria" w:eastAsia="宋体"/>
      <w:color w:val="365F91"/>
      <w:kern w:val="0"/>
      <w:szCs w:val="28"/>
    </w:rPr>
  </w:style>
  <w:style w:type="paragraph" w:customStyle="1" w:styleId="131">
    <w:name w:val="Char Char Char Char Char Char Char Char Char Char Char Char Char"/>
    <w:basedOn w:val="1"/>
    <w:uiPriority w:val="0"/>
  </w:style>
  <w:style w:type="paragraph" w:customStyle="1" w:styleId="132">
    <w:name w:val="二级条标题"/>
    <w:basedOn w:val="1"/>
    <w:next w:val="1"/>
    <w:uiPriority w:val="0"/>
    <w:pPr>
      <w:autoSpaceDE w:val="0"/>
      <w:autoSpaceDN w:val="0"/>
      <w:adjustRightInd w:val="0"/>
      <w:jc w:val="left"/>
    </w:pPr>
    <w:rPr>
      <w:rFonts w:ascii="宋体"/>
      <w:kern w:val="0"/>
      <w:sz w:val="24"/>
    </w:rPr>
  </w:style>
  <w:style w:type="paragraph" w:styleId="133">
    <w:name w:val="List Paragraph"/>
    <w:basedOn w:val="1"/>
    <w:qFormat/>
    <w:uiPriority w:val="34"/>
    <w:pPr>
      <w:ind w:firstLine="420" w:firstLineChars="200"/>
    </w:pPr>
  </w:style>
  <w:style w:type="paragraph" w:customStyle="1" w:styleId="13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35">
    <w:name w:val="徐丽丽正文"/>
    <w:basedOn w:val="1"/>
    <w:qFormat/>
    <w:uiPriority w:val="0"/>
    <w:pPr>
      <w:spacing w:before="120" w:after="120" w:line="360" w:lineRule="auto"/>
      <w:ind w:firstLine="480" w:firstLineChars="200"/>
      <w:jc w:val="left"/>
    </w:pPr>
    <w:rPr>
      <w:color w:val="000000"/>
      <w:kern w:val="0"/>
      <w:sz w:val="24"/>
      <w:szCs w:val="21"/>
    </w:rPr>
  </w:style>
  <w:style w:type="paragraph" w:customStyle="1" w:styleId="136">
    <w:name w:val="标题1"/>
    <w:basedOn w:val="1"/>
    <w:next w:val="1"/>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37">
    <w:name w:val="样式 ssss + 居中"/>
    <w:basedOn w:val="85"/>
    <w:uiPriority w:val="0"/>
    <w:pPr>
      <w:jc w:val="center"/>
    </w:pPr>
    <w:rPr>
      <w:rFonts w:cs="宋体"/>
      <w:szCs w:val="20"/>
    </w:rPr>
  </w:style>
  <w:style w:type="paragraph" w:customStyle="1" w:styleId="138">
    <w:name w:val="样式 正文文本缩进 3 + 四号"/>
    <w:basedOn w:val="29"/>
    <w:uiPriority w:val="0"/>
    <w:pPr>
      <w:spacing w:after="0" w:line="360" w:lineRule="auto"/>
      <w:ind w:left="0" w:leftChars="0" w:firstLine="437"/>
    </w:pPr>
    <w:rPr>
      <w:sz w:val="24"/>
      <w:szCs w:val="21"/>
    </w:rPr>
  </w:style>
  <w:style w:type="paragraph" w:customStyle="1" w:styleId="139">
    <w:name w:val="2cxsplast"/>
    <w:basedOn w:val="1"/>
    <w:uiPriority w:val="0"/>
    <w:pPr>
      <w:widowControl/>
      <w:spacing w:before="100" w:beforeAutospacing="1" w:after="100" w:afterAutospacing="1"/>
      <w:jc w:val="left"/>
    </w:pPr>
    <w:rPr>
      <w:rFonts w:ascii="宋体" w:hAnsi="宋体" w:cs="宋体"/>
      <w:kern w:val="0"/>
      <w:sz w:val="24"/>
    </w:rPr>
  </w:style>
  <w:style w:type="paragraph" w:customStyle="1" w:styleId="140">
    <w:name w:val="徐丽丽五级标题"/>
    <w:basedOn w:val="1"/>
    <w:qFormat/>
    <w:uiPriority w:val="0"/>
    <w:pPr>
      <w:spacing w:before="120" w:after="120" w:line="360" w:lineRule="auto"/>
      <w:jc w:val="left"/>
    </w:pPr>
    <w:rPr>
      <w:rFonts w:ascii="宋体" w:hAnsi="宋体"/>
      <w:b/>
      <w:bCs/>
      <w:color w:val="000000"/>
      <w:kern w:val="0"/>
      <w:sz w:val="24"/>
    </w:rPr>
  </w:style>
  <w:style w:type="paragraph" w:customStyle="1" w:styleId="141">
    <w:name w:val="徐丽丽三级标题"/>
    <w:basedOn w:val="1"/>
    <w:qFormat/>
    <w:uiPriority w:val="0"/>
    <w:pPr>
      <w:adjustRightInd w:val="0"/>
      <w:snapToGrid w:val="0"/>
      <w:spacing w:line="360" w:lineRule="auto"/>
      <w:ind w:firstLine="560" w:firstLineChars="200"/>
      <w:jc w:val="center"/>
      <w:outlineLvl w:val="0"/>
    </w:pPr>
    <w:rPr>
      <w:rFonts w:eastAsia="黑体"/>
      <w:bCs/>
      <w:sz w:val="28"/>
      <w:szCs w:val="28"/>
    </w:rPr>
  </w:style>
  <w:style w:type="paragraph" w:customStyle="1" w:styleId="142">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43">
    <w:name w:val="Header2"/>
    <w:basedOn w:val="1"/>
    <w:uiPriority w:val="0"/>
    <w:pPr>
      <w:numPr>
        <w:ilvl w:val="0"/>
        <w:numId w:val="2"/>
      </w:numPr>
    </w:pPr>
  </w:style>
  <w:style w:type="paragraph" w:customStyle="1" w:styleId="144">
    <w:name w:val="Char Char"/>
    <w:basedOn w:val="1"/>
    <w:uiPriority w:val="0"/>
    <w:rPr>
      <w:szCs w:val="20"/>
    </w:rPr>
  </w:style>
  <w:style w:type="paragraph" w:customStyle="1" w:styleId="145">
    <w:name w:val="标题------4"/>
    <w:basedOn w:val="8"/>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46">
    <w:name w:val="样式 宋体 四号 黑色 左侧:  0.74 厘米 首行缩进:  0.74 厘米 行距: 1.5 倍行距"/>
    <w:basedOn w:val="1"/>
    <w:uiPriority w:val="0"/>
    <w:pPr>
      <w:spacing w:line="360" w:lineRule="auto"/>
      <w:ind w:firstLine="420"/>
    </w:pPr>
    <w:rPr>
      <w:rFonts w:ascii="宋体"/>
      <w:color w:val="000000"/>
      <w:sz w:val="24"/>
      <w:szCs w:val="21"/>
    </w:rPr>
  </w:style>
  <w:style w:type="paragraph" w:customStyle="1" w:styleId="147">
    <w:name w:val="ec_msonormal"/>
    <w:basedOn w:val="1"/>
    <w:uiPriority w:val="0"/>
    <w:pPr>
      <w:widowControl/>
      <w:spacing w:before="100" w:beforeAutospacing="1" w:after="100" w:afterAutospacing="1"/>
      <w:jc w:val="left"/>
    </w:pPr>
    <w:rPr>
      <w:rFonts w:ascii="宋体" w:hAnsi="宋体"/>
      <w:kern w:val="0"/>
      <w:sz w:val="24"/>
    </w:rPr>
  </w:style>
  <w:style w:type="paragraph" w:customStyle="1" w:styleId="14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9">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50">
    <w:name w:val="四级条标题"/>
    <w:basedOn w:val="151"/>
    <w:next w:val="1"/>
    <w:qFormat/>
    <w:uiPriority w:val="0"/>
  </w:style>
  <w:style w:type="paragraph" w:customStyle="1" w:styleId="151">
    <w:name w:val="三级条标题"/>
    <w:basedOn w:val="132"/>
    <w:next w:val="1"/>
    <w:uiPriority w:val="0"/>
  </w:style>
  <w:style w:type="paragraph" w:customStyle="1" w:styleId="152">
    <w:name w:val="Char Char Char Char Char Char Char Char Char Char"/>
    <w:basedOn w:val="1"/>
    <w:uiPriority w:val="0"/>
    <w:rPr>
      <w:rFonts w:ascii="Tahoma" w:hAnsi="Tahoma"/>
      <w:sz w:val="24"/>
      <w:szCs w:val="20"/>
    </w:rPr>
  </w:style>
  <w:style w:type="paragraph" w:customStyle="1" w:styleId="153">
    <w:name w:val="2cxspmiddle"/>
    <w:basedOn w:val="1"/>
    <w:uiPriority w:val="0"/>
    <w:pPr>
      <w:widowControl/>
      <w:spacing w:before="100" w:beforeAutospacing="1" w:after="100" w:afterAutospacing="1"/>
      <w:jc w:val="left"/>
    </w:pPr>
    <w:rPr>
      <w:rFonts w:ascii="宋体" w:hAnsi="宋体" w:cs="宋体"/>
      <w:kern w:val="0"/>
      <w:sz w:val="24"/>
    </w:rPr>
  </w:style>
  <w:style w:type="paragraph" w:customStyle="1" w:styleId="154">
    <w:name w:val="GB-1"/>
    <w:uiPriority w:val="0"/>
    <w:pPr>
      <w:keepNext/>
      <w:numPr>
        <w:ilvl w:val="0"/>
        <w:numId w:val="3"/>
      </w:numPr>
      <w:autoSpaceDE w:val="0"/>
      <w:autoSpaceDN w:val="0"/>
      <w:spacing w:beforeLines="50" w:afterLines="50"/>
      <w:outlineLvl w:val="0"/>
    </w:pPr>
    <w:rPr>
      <w:rFonts w:ascii="黑体" w:hAnsi="Times New Roman" w:eastAsia="黑体" w:cs="Times New Roman"/>
      <w:sz w:val="21"/>
      <w:szCs w:val="21"/>
      <w:lang w:val="en-US" w:eastAsia="zh-CN" w:bidi="ar-SA"/>
    </w:rPr>
  </w:style>
  <w:style w:type="paragraph" w:customStyle="1" w:styleId="155">
    <w:name w:val="Char Char Char Char1"/>
    <w:basedOn w:val="15"/>
    <w:uiPriority w:val="0"/>
    <w:pPr>
      <w:adjustRightInd w:val="0"/>
      <w:snapToGrid w:val="0"/>
      <w:spacing w:line="360" w:lineRule="auto"/>
    </w:pPr>
    <w:rPr>
      <w:rFonts w:ascii="Tahoma" w:hAnsi="Tahoma"/>
      <w:sz w:val="24"/>
    </w:rPr>
  </w:style>
  <w:style w:type="paragraph" w:customStyle="1" w:styleId="156">
    <w:name w:val="章标题"/>
    <w:next w:val="1"/>
    <w:uiPriority w:val="0"/>
    <w:pPr>
      <w:tabs>
        <w:tab w:val="left" w:pos="360"/>
      </w:tabs>
      <w:spacing w:beforeLines="50" w:afterLines="50"/>
      <w:ind w:left="360" w:hanging="360"/>
      <w:jc w:val="both"/>
      <w:outlineLvl w:val="1"/>
    </w:pPr>
    <w:rPr>
      <w:rFonts w:ascii="黑体" w:hAnsi="Times New Roman" w:eastAsia="黑体" w:cs="Times New Roman"/>
      <w:sz w:val="21"/>
      <w:lang w:val="en-US" w:eastAsia="zh-CN" w:bidi="ar-SA"/>
    </w:rPr>
  </w:style>
  <w:style w:type="paragraph" w:customStyle="1" w:styleId="157">
    <w:name w:val="msonormalcxsplast"/>
    <w:basedOn w:val="1"/>
    <w:uiPriority w:val="0"/>
    <w:pPr>
      <w:widowControl/>
      <w:spacing w:before="100" w:beforeAutospacing="1" w:after="100" w:afterAutospacing="1"/>
      <w:jc w:val="left"/>
    </w:pPr>
    <w:rPr>
      <w:rFonts w:ascii="宋体" w:hAnsi="宋体" w:cs="宋体"/>
      <w:kern w:val="0"/>
      <w:sz w:val="24"/>
    </w:rPr>
  </w:style>
  <w:style w:type="paragraph" w:customStyle="1" w:styleId="158">
    <w:name w:val="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59">
    <w:name w:val="Char"/>
    <w:basedOn w:val="1"/>
    <w:uiPriority w:val="0"/>
    <w:rPr>
      <w:rFonts w:ascii="Tahoma" w:hAnsi="Tahoma"/>
      <w:sz w:val="24"/>
      <w:szCs w:val="20"/>
    </w:rPr>
  </w:style>
  <w:style w:type="paragraph" w:customStyle="1" w:styleId="160">
    <w:name w:val="Char Char Char Char2"/>
    <w:basedOn w:val="1"/>
    <w:qFormat/>
    <w:uiPriority w:val="0"/>
    <w:rPr>
      <w:rFonts w:ascii="Tahoma" w:hAnsi="Tahoma"/>
      <w:sz w:val="24"/>
      <w:szCs w:val="20"/>
    </w:rPr>
  </w:style>
  <w:style w:type="paragraph" w:customStyle="1" w:styleId="161">
    <w:name w:val="正文1"/>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62">
    <w:name w:val="样式3"/>
    <w:basedOn w:val="21"/>
    <w:qFormat/>
    <w:uiPriority w:val="0"/>
    <w:pPr>
      <w:spacing w:line="0" w:lineRule="atLeast"/>
      <w:outlineLvl w:val="0"/>
    </w:pPr>
    <w:rPr>
      <w:kern w:val="0"/>
      <w:sz w:val="28"/>
      <w:szCs w:val="20"/>
    </w:rPr>
  </w:style>
  <w:style w:type="paragraph" w:customStyle="1" w:styleId="163">
    <w:name w:val="Char Char Char"/>
    <w:basedOn w:val="1"/>
    <w:uiPriority w:val="0"/>
    <w:rPr>
      <w:rFonts w:ascii="Tahoma" w:hAnsi="Tahoma"/>
      <w:sz w:val="24"/>
      <w:szCs w:val="20"/>
    </w:rPr>
  </w:style>
  <w:style w:type="paragraph" w:customStyle="1" w:styleId="164">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kern w:val="0"/>
      <w:sz w:val="18"/>
      <w:szCs w:val="18"/>
    </w:rPr>
  </w:style>
  <w:style w:type="paragraph" w:customStyle="1" w:styleId="165">
    <w:name w:val="Char1"/>
    <w:basedOn w:val="1"/>
    <w:uiPriority w:val="0"/>
    <w:pPr>
      <w:widowControl/>
      <w:spacing w:after="160" w:line="240" w:lineRule="exact"/>
      <w:jc w:val="left"/>
    </w:pPr>
  </w:style>
  <w:style w:type="paragraph" w:customStyle="1" w:styleId="166">
    <w:name w:val="表格"/>
    <w:basedOn w:val="1"/>
    <w:qFormat/>
    <w:uiPriority w:val="0"/>
    <w:rPr>
      <w:rFonts w:ascii="Arial" w:hAnsi="Arial"/>
      <w:sz w:val="24"/>
    </w:rPr>
  </w:style>
  <w:style w:type="paragraph" w:customStyle="1" w:styleId="167">
    <w:name w:val="前言、引言标题"/>
    <w:next w:val="1"/>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168">
    <w:name w:val="列出段落11"/>
    <w:basedOn w:val="1"/>
    <w:qFormat/>
    <w:uiPriority w:val="1"/>
    <w:pPr>
      <w:spacing w:line="360" w:lineRule="auto"/>
      <w:ind w:firstLine="420" w:firstLineChars="200"/>
      <w:jc w:val="left"/>
    </w:pPr>
    <w:rPr>
      <w:rFonts w:ascii="宋体" w:hAnsi="宋体"/>
      <w:sz w:val="24"/>
    </w:rPr>
  </w:style>
  <w:style w:type="paragraph" w:customStyle="1" w:styleId="169">
    <w:name w:val="徐丽丽四级标题"/>
    <w:basedOn w:val="1"/>
    <w:uiPriority w:val="0"/>
    <w:pPr>
      <w:spacing w:before="120" w:after="120" w:line="360" w:lineRule="auto"/>
    </w:pPr>
    <w:rPr>
      <w:rFonts w:eastAsia="黑体"/>
      <w:b/>
      <w:kern w:val="0"/>
      <w:sz w:val="28"/>
    </w:rPr>
  </w:style>
  <w:style w:type="paragraph" w:customStyle="1" w:styleId="170">
    <w:name w:val="Char Char Char Char Char Char Char Char Char Char Char Char Char1"/>
    <w:basedOn w:val="1"/>
    <w:uiPriority w:val="0"/>
    <w:rPr>
      <w:sz w:val="24"/>
    </w:rPr>
  </w:style>
  <w:style w:type="paragraph" w:customStyle="1" w:styleId="171">
    <w:name w:val="Char2"/>
    <w:basedOn w:val="1"/>
    <w:uiPriority w:val="0"/>
    <w:pPr>
      <w:tabs>
        <w:tab w:val="left" w:pos="360"/>
      </w:tabs>
    </w:pPr>
    <w:rPr>
      <w:sz w:val="24"/>
    </w:rPr>
  </w:style>
  <w:style w:type="paragraph" w:customStyle="1" w:styleId="172">
    <w:name w:val="样式 样式 标题 1 + 黑体 五号 + 段前: 0.5 行 段后: 0.5 行"/>
    <w:basedOn w:val="101"/>
    <w:uiPriority w:val="99"/>
    <w:pPr>
      <w:spacing w:before="156" w:after="156"/>
    </w:pPr>
    <w:rPr>
      <w:rFonts w:cs="宋体"/>
      <w:b/>
    </w:rPr>
  </w:style>
  <w:style w:type="paragraph" w:customStyle="1" w:styleId="173">
    <w:name w:val="Pa1"/>
    <w:basedOn w:val="124"/>
    <w:next w:val="124"/>
    <w:uiPriority w:val="0"/>
    <w:pPr>
      <w:spacing w:line="241" w:lineRule="atLeast"/>
    </w:pPr>
    <w:rPr>
      <w:rFonts w:ascii="Tahoma" w:hAnsi="Tahoma" w:eastAsia="宋体" w:cs="Times New Roman"/>
      <w:color w:val="auto"/>
    </w:rPr>
  </w:style>
  <w:style w:type="paragraph" w:customStyle="1" w:styleId="174">
    <w:name w:val="Revision"/>
    <w:uiPriority w:val="99"/>
    <w:rPr>
      <w:rFonts w:ascii="Times New Roman" w:hAnsi="Times New Roman" w:eastAsia="宋体" w:cs="Times New Roman"/>
      <w:kern w:val="2"/>
      <w:sz w:val="21"/>
      <w:szCs w:val="24"/>
      <w:lang w:val="en-US" w:eastAsia="zh-CN" w:bidi="ar-SA"/>
    </w:rPr>
  </w:style>
  <w:style w:type="table" w:customStyle="1" w:styleId="175">
    <w:name w:val="网格型1"/>
    <w:basedOn w:val="3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6">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177">
    <w:name w:val="_Style 176"/>
    <w:basedOn w:val="19"/>
    <w:next w:val="36"/>
    <w:qFormat/>
    <w:uiPriority w:val="99"/>
    <w:pPr>
      <w:ind w:firstLine="200" w:firstLineChars="200"/>
    </w:pPr>
  </w:style>
  <w:style w:type="paragraph" w:customStyle="1" w:styleId="178">
    <w:name w:val="_Style 177"/>
    <w:basedOn w:val="19"/>
    <w:next w:val="36"/>
    <w:qFormat/>
    <w:uiPriority w:val="99"/>
    <w:pPr>
      <w:ind w:firstLine="200" w:firstLineChars="200"/>
    </w:pPr>
  </w:style>
  <w:style w:type="character" w:customStyle="1" w:styleId="179">
    <w:name w:val="页脚 字符"/>
    <w:qFormat/>
    <w:uiPriority w:val="99"/>
  </w:style>
  <w:style w:type="character" w:customStyle="1" w:styleId="180">
    <w:name w:val="font51"/>
    <w:qFormat/>
    <w:uiPriority w:val="0"/>
    <w:rPr>
      <w:rFonts w:hint="eastAsia" w:ascii="宋体" w:hAnsi="宋体" w:eastAsia="宋体" w:cs="宋体"/>
      <w:color w:val="000000"/>
      <w:sz w:val="18"/>
      <w:szCs w:val="18"/>
      <w:u w:val="none"/>
    </w:rPr>
  </w:style>
  <w:style w:type="character" w:customStyle="1" w:styleId="181">
    <w:name w:val="font11"/>
    <w:qFormat/>
    <w:uiPriority w:val="0"/>
    <w:rPr>
      <w:rFonts w:hint="default" w:ascii="Times New Roman" w:hAnsi="Times New Roman" w:cs="Times New Roman"/>
      <w:color w:val="000000"/>
      <w:sz w:val="18"/>
      <w:szCs w:val="18"/>
      <w:u w:val="none"/>
    </w:rPr>
  </w:style>
  <w:style w:type="character" w:customStyle="1" w:styleId="182">
    <w:name w:val="NormalCharacter"/>
    <w:qFormat/>
    <w:uiPriority w:val="0"/>
  </w:style>
  <w:style w:type="table" w:customStyle="1" w:styleId="183">
    <w:name w:val="网格型2"/>
    <w:basedOn w:val="3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38</Pages>
  <Words>3264</Words>
  <Characters>18610</Characters>
  <Lines>155</Lines>
  <Paragraphs>43</Paragraphs>
  <TotalTime>50</TotalTime>
  <ScaleCrop>false</ScaleCrop>
  <LinksUpToDate>false</LinksUpToDate>
  <CharactersWithSpaces>21831</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2021-09-16T10:04:00Z</dcterms:created>
  <dc:creator>丁晓华</dc:creator>
  <cp:lastModifiedBy>菲常</cp:lastModifiedBy>
  <cp:lastPrinted>2021-06-07T07:23:00Z</cp:lastPrinted>
  <dcterms:modified xsi:type="dcterms:W3CDTF">2021-09-18T09:06:47Z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FE0EDDB09DE9417D87C8AB74344916AA</vt:lpwstr>
  </property>
</Properties>
</file>