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center"/>
        <w:outlineLvl w:val="0"/>
        <w:rPr>
          <w:rFonts w:ascii="宋体" w:hAnsi="宋体" w:eastAsia="宋体" w:cs="宋体"/>
          <w:b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 xml:space="preserve"> 项目需求说明</w:t>
      </w:r>
    </w:p>
    <w:p>
      <w:pPr>
        <w:snapToGrid w:val="0"/>
        <w:spacing w:before="240" w:beforeLines="100" w:line="460" w:lineRule="exact"/>
        <w:ind w:firstLine="562" w:firstLineChars="200"/>
        <w:contextualSpacing/>
        <w:rPr>
          <w:rFonts w:ascii="宋体" w:hAnsi="宋体" w:eastAsia="宋体" w:cs="宋体"/>
          <w:kern w:val="0"/>
          <w:sz w:val="28"/>
          <w:szCs w:val="28"/>
          <w:highlight w:val="none"/>
        </w:rPr>
      </w:pPr>
      <w:bookmarkStart w:id="0" w:name="OLE_LINK4"/>
      <w:bookmarkStart w:id="1" w:name="OLE_LINK3"/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  <w:lang w:val="zh-CN"/>
        </w:rPr>
        <w:t>请</w:t>
      </w:r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  <w:t>参</w:t>
      </w:r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  <w:lang w:val="zh-CN"/>
        </w:rPr>
        <w:t>选人在制作</w:t>
      </w:r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  <w:t>参</w:t>
      </w:r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  <w:lang w:val="zh-CN"/>
        </w:rPr>
        <w:t>选文件时仔细研究项目需求说明。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参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zh-CN"/>
        </w:rPr>
        <w:t>选人不能简单照搬照抄采购单位项目需求说明中的技术、商务要求，必须作实事求是的响应。如照搬照抄项目需求说明中的技术、商务要求的，中标后供应商在同采购单位签订合同和履约环节中不得提出异议，一切后果和损失由中标供应商承担。</w:t>
      </w:r>
    </w:p>
    <w:bookmarkEnd w:id="0"/>
    <w:bookmarkEnd w:id="1"/>
    <w:p>
      <w:pPr>
        <w:snapToGrid w:val="0"/>
        <w:spacing w:before="240" w:beforeLines="100" w:line="460" w:lineRule="exact"/>
        <w:ind w:firstLine="562" w:firstLineChars="200"/>
        <w:contextualSpacing/>
        <w:outlineLvl w:val="1"/>
        <w:rPr>
          <w:rFonts w:ascii="宋体" w:hAnsi="宋体" w:eastAsia="宋体" w:cs="宋体"/>
          <w:b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  <w:lang w:val="zh-CN"/>
        </w:rPr>
        <w:t>一、项目背景</w:t>
      </w:r>
    </w:p>
    <w:p>
      <w:pPr>
        <w:numPr>
          <w:ilvl w:val="0"/>
          <w:numId w:val="0"/>
        </w:numPr>
        <w:spacing w:line="360" w:lineRule="auto"/>
        <w:ind w:leftChars="0" w:firstLine="560" w:firstLineChars="200"/>
        <w:rPr>
          <w:rFonts w:ascii="宋体" w:hAnsi="Times New Roman" w:eastAsia="宋体" w:cs="宋体"/>
          <w:b/>
          <w:sz w:val="28"/>
          <w:szCs w:val="24"/>
          <w:highlight w:val="none"/>
          <w:lang w:val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zh-CN"/>
        </w:rPr>
        <w:t>为保障日常监测工作标样需求及新项目扩项工作开展，南通市生态环境监测站开展进行此次标样比选采购。</w:t>
      </w:r>
    </w:p>
    <w:p>
      <w:pPr>
        <w:widowControl/>
        <w:numPr>
          <w:ilvl w:val="0"/>
          <w:numId w:val="1"/>
        </w:numPr>
        <w:spacing w:line="460" w:lineRule="exact"/>
        <w:ind w:firstLine="562" w:firstLineChars="200"/>
        <w:jc w:val="left"/>
        <w:outlineLvl w:val="1"/>
        <w:rPr>
          <w:rFonts w:hint="eastAsia" w:ascii="宋体" w:hAnsi="宋体" w:eastAsia="宋体" w:cs="宋体"/>
          <w:b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>项目</w:t>
      </w:r>
      <w:r>
        <w:rPr>
          <w:rFonts w:hint="eastAsia" w:ascii="宋体" w:hAnsi="宋体" w:eastAsia="宋体" w:cs="宋体"/>
          <w:b/>
          <w:sz w:val="28"/>
          <w:szCs w:val="28"/>
          <w:highlight w:val="none"/>
          <w:lang w:eastAsia="zh-CN"/>
        </w:rPr>
        <w:t>内容</w:t>
      </w:r>
    </w:p>
    <w:p>
      <w:pPr>
        <w:widowControl/>
        <w:numPr>
          <w:ilvl w:val="0"/>
          <w:numId w:val="0"/>
        </w:numPr>
        <w:spacing w:line="460" w:lineRule="exact"/>
        <w:ind w:firstLine="562" w:firstLineChars="200"/>
        <w:jc w:val="left"/>
        <w:outlineLvl w:val="1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highlight w:val="none"/>
          <w:lang w:val="en-US" w:eastAsia="zh-CN"/>
        </w:rPr>
        <w:t>1.采购清单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sz w:val="28"/>
          <w:szCs w:val="28"/>
          <w:highlight w:val="none"/>
          <w:lang w:eastAsia="zh-CN"/>
        </w:rPr>
        <w:t>限价</w:t>
      </w:r>
      <w:r>
        <w:rPr>
          <w:rFonts w:hint="eastAsia" w:ascii="宋体" w:hAnsi="宋体" w:eastAsia="宋体" w:cs="宋体"/>
          <w:b/>
          <w:bCs w:val="0"/>
          <w:sz w:val="28"/>
          <w:szCs w:val="28"/>
          <w:highlight w:val="none"/>
          <w:lang w:val="en-US" w:eastAsia="zh-CN"/>
        </w:rPr>
        <w:t>11.67万元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）</w:t>
      </w:r>
    </w:p>
    <w:tbl>
      <w:tblPr>
        <w:tblStyle w:val="4"/>
        <w:tblpPr w:leftFromText="180" w:rightFromText="180" w:vertAnchor="text" w:horzAnchor="page" w:tblpX="1456" w:tblpY="454"/>
        <w:tblOverlap w:val="never"/>
        <w:tblW w:w="9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37"/>
        <w:gridCol w:w="801"/>
        <w:gridCol w:w="2850"/>
        <w:gridCol w:w="3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名 称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技术指标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建议品牌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总磷分析校准用标准样品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标准值500mg/L；20mL/瓶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总磷水质标样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标准值范围0.092-1.15mg/L；20mL/瓶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标准值范围28.2-242mg/L；20mL/瓶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硫化物分析校准用标准样品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标准值100mg/L ； 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分析校准用标准样品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标准值500mg/L； 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铜水质标样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标准值范围0.708-1.58mg/L；20mL/瓶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铅分析校准用标准样品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标准值500mg/L；20mL/瓶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铅水质标样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标准值范围65.3-99.3mg/L；20mL/瓶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锌分析校准用标准样品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标准值1000mg/L ； 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锌水质标样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标准值范围0.641-0.914mg/L； 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铬分析校准用标准样品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标准值500mg/L  20mL/瓶 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汞分析校准用标准样品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标准值100mg/L ；20mL/瓶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汞水质标样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标准值范围3-13.1ug/L ；20mL/瓶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硒分析校准用标准样品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标准值100mg/L； 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硒水质标样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标准值范围9.6-12.3ug/L ；20mL/瓶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砷分析校准用标准样品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标准值100mg/L ； 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砷水质标样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标准值范围34-91.5ug/L； 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锑水质标样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标准值范围20-49ug/L； 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镍分析校准用标准样品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标准值500mg/L；20mL/瓶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镍水质标样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标准值范围0.358-1.39mg/L； 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铁分析校准用标准样品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标准值500mg/L ； 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铁水质标样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标准值范围0.299-1.56mg/L； 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锰分析校准用标准样品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标准值500mg/L； 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锰水质标样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标准值范围0.20-1.81mg/L； 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总氰化物分析校准用标准样品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标准值50mg/L；40mL/瓶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总氰化物水质标样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标准值范围0.030-0.322mg/L； 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苯胺分析校准用标准样品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标准值100mg/L； 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挥发酚分析校准用标准样品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推荐标准值500-1000mg/L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阴离子分析校准用标准样品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标准值500mg/L； 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阴离子水质标样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标准值范围0.523-1.54mg/L； 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亚硝酸盐分析校准用标准样品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标准值100mg/L；20mL/瓶 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氮氧化物气标样（水剂）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标准值范围0.378-0.494mg/L； 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石油类（四氯乙烯）标样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浓度不限，7mL棕色安瓿瓶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高锰酸盐指数标准样品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标准值2-8mg/L； 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钒标准样品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标准值0.609mg/L  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钴标准样品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标准值69.8µg/L  20mL/瓶 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钛标准样品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标准值0.602mg/L  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钼标准样品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标准值70.7µg/L  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钡标准样品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标准值0.394mg/L  30mL/瓶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铊标准样品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标准值15.9µg/L  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银标准样品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标准值0.205mg/L；20mL/瓶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大肠埃希氏菌定量标准菌株(水质、多管发酵法)两支装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6mL/瓶西林瓶，冻干粉（2支/盒）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中国工业微生物菌种保藏管理中心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金黄色葡萄球菌走量标准菌株(水质、纸片快速法)两支装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6mL/瓶西林瓶，冻干粉（2支/盒）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中国工业微生物菌种保藏管理中心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产气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肠菌走量标准菌株(水质、纸片快速法)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两支装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6mL/瓶西林瓶，冻干粉（2支/盒）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中国工业微生物菌种保藏管理中心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碘化物标准溶液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推荐标准值100mg/L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土壤成分分析标准物质-黄色红壤（金属）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70g/瓶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物探所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土壤pH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标准值范围5.13-8.43，50g/瓶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金属混合标准溶液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24种金属混标(银铝砷硼钡铋钙镉钴铬铜铁钾锂镁锰钠镍磷铅硒锶钒锌)；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100µg/mL/瓶 介质：硝酸   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国家有色金属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总氮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分析校准用标准样品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标准值500mg/L；20mL/瓶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总氮 水质标样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标准值4.48mg/L；20mL/瓶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总氮 水质标样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标准值12.3mg/L；20mL/瓶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分析校准用标准样品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推荐环标所，批号103209；GSB 07-1277-2000，标准值100mg/L；20mL/瓶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氨氮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分析校准用标准样品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标准值500mg/L；20mL/瓶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氨氮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水质标样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标准值0.403mg/L；20mL/瓶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氨氮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水质标样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标准值0.729mg/L；20mL/瓶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氨氮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水质标样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标准值1.02mg/L；20mL/瓶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氨氮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水质标样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标准值1.44mg/L；20mL/瓶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氨氮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水质标样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标准值4.02mg/L；20mL/瓶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分析校准用标准样品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标准值100mg/L；20mL/瓶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水质标样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标准值21.6μg/L；20mL/瓶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水质标样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标准值36.3µg/L；20mL/瓶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水质标样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标准值14.1µg/L；20mL/瓶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标样/水质 镉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标准值0.265mg/L（需稀释）；20mL/瓶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坛墨质检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铅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500mg/L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分析校准用标准样品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标准值500mg/L；20mL/瓶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56种VOC混标(HJ639/HJ810/HJ1227/GB/T5750.8-2023 4.2)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2000mg/L于甲醇,1mL/瓶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氟化苯和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1,4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-二氯苯-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D4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混标(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HJ639-2012/HJ1227-2021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)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1mL/瓶；2000mg/L于甲醇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甲醇中环氧氯丙烷（表氯醇）标准溶液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1mL/瓶；2000mg/L于甲醇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种替代物混标(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8260B-M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HJ639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HJ605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)(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溴氟苯,甲苯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-D8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,二溴氟甲烷）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1mL/瓶；2001mg/L于甲醇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种挥发性有机物质控样，适用于饮用水及地下水标准挥发性有机物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2mL/瓶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Reagecon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种挥发性有机物标准溶液（适用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HJ639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标准值1000μg/mL/瓶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Reagecon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中国标准海水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标准值220mL/瓶；盐度：5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天津海水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中国标准海水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标准值220mL/瓶；盐度：20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天津海水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中国一级标准海水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标准值220mL/瓶；盐度：35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天津海水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人造海水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标准值100mL/瓶；9组分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伟业计量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海水中磷酸盐溶液标准物质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标准值1000mg/L；20mL/瓶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伟业计量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海水中总磷水质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标准值5mg/L；20mL/瓶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海水中总磷标准溶液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标准值100mg/L；50mL/瓶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海水中无机磷标准溶液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标准值300mg/L；50mL/瓶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秦境标物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海水中无机磷标样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标准值1.48mg/L；20mL/瓶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秦境标物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无氨海水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标准值500mL/瓶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秦境标物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VOC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混标(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HJ734-2014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)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标准值1mL/瓶；2000mg/L于甲醇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VOC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混标(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HJ734-2014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)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标准值1mL/瓶；2000mg/L于乙腈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二氯乙烷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-D4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和甲苯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-D8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HJ734-2014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)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标准值1mL/瓶；1000mg/L于甲醇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溴氟苯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标准值1mL/瓶；2000mg/L于甲醇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固体废物中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种重金属分析质控标准物质(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HJ781-2016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ICP-OES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法,总量)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RMU006，40g/瓶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锐标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固体废物中重金属元素成分分析标准物质(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HJ/T299-2007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浸出/硫酸硝酸法)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RMU100，1.5kg/瓶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锐标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质控样品/固体废物中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种重金属混标/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HJ781-2016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ICP-OES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法/总量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RMU006c，40g/瓶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锐标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质控样品/固体废物中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种重金属混标/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HJ781-2016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ICP-OES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法,总量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RMU023，40g/瓶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锐标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质控样品/固体废弃物中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种重金属混标/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HJ766-2015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ICP-MS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法,总量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RMU162，40g/瓶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锐标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质控样品/固体废弃物中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种重金属(浸出)/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HJ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T299-2007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浸出/硫酸硝酸法/适用标准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HJ781-2016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RMU100b，标准值1.5kg/瓶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锐标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质控样品/固体废弃物中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种重金属混标(浸出)/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HJ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T299-2007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浸出/硫酸硝酸法/适用标准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HJ781-2016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GB5085.3-2007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RMU026c，1.5kg/瓶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锐标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质控样品/固体废物中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种重金属(浸出)混标/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HJ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T300-2007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浸出/醋酸缓冲法/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HJ781-2016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RMU018a，1.0kg/瓶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锐标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种氯苯混标(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HJ621-2011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）、不同浓度于二硫化碳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1mL/瓶；不同浓度于二硫化碳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标准品/正己烷/甲苯中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种有机氯混标/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HJ 921-2017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标准值100mg/L；1mL/瓶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TMstandard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标准品/正己烷中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p,p'-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滴滴涕/异狄氏剂混标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/HJ 901-2017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HJ 921-2017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标准值200mg/L；1mL/瓶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TMstandard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石油醚中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种有机氯农药混合溶液标准物质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标准值100mg/L；2mL/瓶，基质石油醚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海岸鸿蒙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石油醚中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种有机氯农药混合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标准值10mg/L；2mL/瓶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海岸鸿蒙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质控样品/土壤中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种有机氯农药/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HJ921-2017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30g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质控样品/土壤中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种有机氯农药混标/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HJ921-2017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30g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美国NSI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ORP（氧化还原电位）标样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推荐标准值430mV；250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mL/瓶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ORP（氧化还原电位）标样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推荐标准值220mV；250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mL/瓶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标准品/甲醇中56种挥发性有机物VOC混标/HJ 639-2012/HJ 810-2016/HJ 1227-2021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推荐标准值2000μg/mL；1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mL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TMstandard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标准品/甲醇中56种挥发性有机物VOC混标/HJ 639-2012/HJ 810-2016/HJ 1227-2021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推荐标准值20μg/mL；1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mL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/瓶，无需稀释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坛墨质检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标准品/甲醇中56种挥发性有机物VOC混标/HJ 639-2012/HJ 810-2016/HJ 1227-2021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推荐标准值10μg/mL；1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mL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/瓶，无需稀释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坛墨质检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标准品/甲醇中2种内标同位素混标/HJ 639-2012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推荐标准值2000μg/mL；1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mL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TMstandard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instrText xml:space="preserve"> HYPERLINK "https://item.gbw-china.com/info/182415097.html" \o "https://item.gbw-china.com/info/182415097.html" </w:instrTex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  <w:t>标样/水质 溶解氧/适用于电化学探头法/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有效期六个月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212529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推荐标准值10μg/mL左右；100mL/瓶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正己烷中石油类标液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推荐标准值＜1mg/L，20mL/瓶，无需稀释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正己烷中石油类标液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推荐标准值8mg/L，20mL/瓶，无需稀释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109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正己烷中石油类标液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推荐标准值8mg/L，20mL/瓶，稀释倍数10-&gt;250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110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氨氮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推荐标准值范围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1.2-1.8mg/L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111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氨氮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推荐标准值范围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20-30mg/L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氨氮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推荐标准值范围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45-67.5mg/L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推荐标准值范围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20-25mg/L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114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推荐标准值范围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200-300mg/L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115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推荐标准值范围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250-375mg/L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116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推荐标准值范围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500-750mg/L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117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总氮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推荐标准值范围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1.2-1.8mg/L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118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总氮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推荐标准值范围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30-45mg/L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119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总氮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推荐标准值范围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45-67.5mg/L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总氮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推荐标准值范围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70-105mg/L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121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总磷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推荐标准值范围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1.5-2.25mg/L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122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总磷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推荐标准值范围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0.196-0.204mg/L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环标所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123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pH标准缓冲溶液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推荐标准值pH 7.00（无量纲）,500mL/瓶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124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pH标准缓冲溶液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推荐标准值pH 1.680（无量纲）,500mL/瓶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125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pH标准缓冲溶液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推荐标准值pH 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12.460（无量纲）,500mL/瓶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2.采购要求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各投标人应严格按报价单位及限价进行报价，不得漏项，不得超过限价金额,否则有可能导致投标被否决。标注品牌仅供参考，所投品牌质量应相当或优于标注品牌,以后附分析方法中要求验证。每批货物到货后有效期不得少于总有效期的2/3，生产批号应为半年内，否则需经过需方同意。</w:t>
      </w:r>
    </w:p>
    <w:p>
      <w:pPr>
        <w:spacing w:line="360" w:lineRule="auto"/>
        <w:ind w:firstLine="562" w:firstLineChars="200"/>
        <w:outlineLvl w:val="1"/>
        <w:rPr>
          <w:rFonts w:ascii="宋体" w:hAnsi="宋体" w:eastAsia="宋体" w:cs="宋体"/>
          <w:b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/>
          <w:sz w:val="28"/>
          <w:szCs w:val="28"/>
          <w:highlight w:val="none"/>
          <w:lang w:val="zh-CN"/>
        </w:rPr>
        <w:t>三、商务要求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zh-CN"/>
        </w:rPr>
        <w:t>.供货要求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.1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交货期：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（1）常规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标样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合同签订后15个日历天内完成供货并通过验收。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（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）特殊急用48小时内。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（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）市场上暂时无货的经需方同意后可延期交货。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.2 如遇不可抗力因素导致供方无法提供投标文件内货物，应取得需方同意后替换为规格、品质不低于原货物信息的商品（价格为原货物报价），若供方未征得需方同意，提供的货物与投标文件内货物信息不一致的，违约方在供方，按总货款的百分之三十承担违约金。卖方未按买方要求的时间供货的，超过两次买方即可解除合同，供方需按总货款的百分之三十承担违约金。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.3因卖方提供不合格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标样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造成需方设备、仪器以及其他人身伤害的，由卖方承担经济责任。必要时，追究法律责任。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.4若上级主管部门出台相关规定，该项目不再允许购买服务时，则合同自动终止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sz w:val="28"/>
          <w:szCs w:val="28"/>
          <w:highlight w:val="none"/>
          <w:lang w:val="zh-CN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zh-CN"/>
        </w:rPr>
        <w:t>.供货地点：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 w:eastAsia="zh-CN"/>
        </w:rPr>
        <w:t>采购人指定地点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sz w:val="28"/>
          <w:szCs w:val="28"/>
          <w:highlight w:val="none"/>
          <w:lang w:val="zh-CN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zh-CN" w:eastAsia="zh-CN"/>
        </w:rPr>
        <w:t>验收要求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zh-CN"/>
        </w:rPr>
        <w:t>：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供应商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 w:eastAsia="zh-CN"/>
        </w:rPr>
        <w:t>所供产品必须符合国家、行业特别是环境监测方法相关标准，买方对供货方所送产品有权进行随机抽样检测，出现一次质量检验不合格，买方有权单方解除合同并要求赔偿损失；如标样标注有效期，商品在给客户发货时，剩余保质时间要大于总有效期的2/3；如标样无固定有效期，货物生产日期原则上应为半年内，否则需经过需方同意。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zh-CN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zh-CN" w:eastAsia="zh-CN"/>
        </w:rPr>
        <w:t>付款方式：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 w:eastAsia="zh-CN"/>
        </w:rPr>
        <w:t>完成供货，经验收通过，成交供应商提供增值税专用发票后二十个工作日内一次性付清货款，最终以双方签订的采购合同内确定的条款为准执行。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  <w:lang w:val="zh-CN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 w:eastAsia="zh-CN"/>
        </w:rPr>
        <w:t>注：成交供应商只能以投标时的单位名称开具合法的税务票据。(货到票到一个月内结款)</w:t>
      </w:r>
    </w:p>
    <w:p>
      <w:pPr>
        <w:spacing w:line="460" w:lineRule="exact"/>
        <w:ind w:firstLine="560" w:firstLineChars="200"/>
        <w:rPr>
          <w:rFonts w:ascii="宋体" w:hAnsi="宋体" w:eastAsia="宋体" w:cs="宋体"/>
          <w:sz w:val="28"/>
          <w:szCs w:val="28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2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795EC0"/>
    <w:multiLevelType w:val="singleLevel"/>
    <w:tmpl w:val="72795EC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MTk0NDllYWQwOTYyMTMxMWRiNjI1MTRjOGFjNDgifQ=="/>
  </w:docVars>
  <w:rsids>
    <w:rsidRoot w:val="00000000"/>
    <w:rsid w:val="2C0E3CE8"/>
    <w:rsid w:val="78E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Times New Roman" w:eastAsia="仿宋_GB2312" w:cs="Times New Roman"/>
      <w:kern w:val="0"/>
      <w:sz w:val="24"/>
      <w:szCs w:val="20"/>
    </w:r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2024-07-10T09:16:00Z</dcterms:created>
  <dc:creator>acer</dc:creator>
  <cp:lastModifiedBy>Administrator</cp:lastModifiedBy>
  <dcterms:modified xsi:type="dcterms:W3CDTF">2024-07-11T07:37:59Z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633EC03D348D406AADBDDD1B6B3FECE1_12</vt:lpwstr>
  </property>
</Properties>
</file>