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jc w:val="center"/>
        <w:textAlignment w:val="auto"/>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val="0"/>
        <w:spacing w:line="300" w:lineRule="auto"/>
        <w:ind w:left="2891" w:hanging="3534" w:hangingChars="800"/>
        <w:jc w:val="center"/>
        <w:textAlignment w:val="auto"/>
        <w:rPr>
          <w:rFonts w:hint="eastAsia" w:ascii="宋体" w:hAnsi="宋体" w:eastAsia="宋体" w:cs="宋体"/>
          <w:b/>
          <w:color w:val="000000"/>
          <w:sz w:val="44"/>
          <w:szCs w:val="44"/>
        </w:rPr>
      </w:pPr>
      <w:r>
        <w:rPr>
          <w:rFonts w:hint="eastAsia" w:ascii="宋体" w:hAnsi="宋体" w:eastAsia="宋体" w:cs="宋体"/>
          <w:b/>
          <w:color w:val="000000"/>
          <w:sz w:val="44"/>
          <w:szCs w:val="44"/>
        </w:rPr>
        <w:t>2022-202</w:t>
      </w:r>
      <w:r>
        <w:rPr>
          <w:rFonts w:hint="eastAsia" w:ascii="宋体" w:hAnsi="宋体" w:eastAsia="宋体" w:cs="宋体"/>
          <w:b/>
          <w:color w:val="000000"/>
          <w:sz w:val="44"/>
          <w:szCs w:val="44"/>
          <w:lang w:val="en-US" w:eastAsia="zh-CN"/>
        </w:rPr>
        <w:t>5</w:t>
      </w:r>
      <w:r>
        <w:rPr>
          <w:rFonts w:hint="eastAsia" w:ascii="宋体" w:hAnsi="宋体" w:eastAsia="宋体" w:cs="宋体"/>
          <w:b/>
          <w:color w:val="000000"/>
          <w:sz w:val="44"/>
          <w:szCs w:val="44"/>
        </w:rPr>
        <w:t>年度南通市</w:t>
      </w:r>
      <w:r>
        <w:rPr>
          <w:rFonts w:hint="eastAsia" w:ascii="宋体" w:hAnsi="宋体" w:eastAsia="宋体" w:cs="宋体"/>
          <w:b/>
          <w:color w:val="000000"/>
          <w:sz w:val="44"/>
          <w:szCs w:val="44"/>
          <w:lang w:val="en-US" w:eastAsia="zh-CN"/>
        </w:rPr>
        <w:t>区</w:t>
      </w:r>
      <w:r>
        <w:rPr>
          <w:rFonts w:hint="eastAsia" w:ascii="宋体" w:hAnsi="宋体" w:eastAsia="宋体" w:cs="宋体"/>
          <w:b/>
          <w:color w:val="000000"/>
          <w:sz w:val="44"/>
          <w:szCs w:val="44"/>
        </w:rPr>
        <w:t>噪声自动监测站</w:t>
      </w:r>
    </w:p>
    <w:p>
      <w:pPr>
        <w:bidi w:val="0"/>
        <w:jc w:val="center"/>
        <w:rPr>
          <w:rFonts w:hint="eastAsia" w:ascii="宋体" w:hAnsi="宋体" w:eastAsia="宋体" w:cs="宋体"/>
          <w:sz w:val="44"/>
          <w:szCs w:val="44"/>
          <w:highlight w:val="yellow"/>
        </w:rPr>
      </w:pPr>
      <w:r>
        <w:rPr>
          <w:rFonts w:hint="eastAsia" w:ascii="宋体" w:hAnsi="宋体" w:eastAsia="宋体" w:cs="宋体"/>
          <w:b/>
          <w:color w:val="000000"/>
          <w:sz w:val="44"/>
          <w:szCs w:val="44"/>
        </w:rPr>
        <w:t>运维服务项目</w:t>
      </w:r>
    </w:p>
    <w:p>
      <w:pPr>
        <w:pageBreakBefore w:val="0"/>
        <w:kinsoku/>
        <w:wordWrap/>
        <w:overflowPunct/>
        <w:topLinePunct w:val="0"/>
        <w:bidi w:val="0"/>
        <w:spacing w:line="360" w:lineRule="auto"/>
        <w:jc w:val="center"/>
        <w:textAlignment w:val="auto"/>
        <w:rPr>
          <w:rFonts w:hint="eastAsia" w:ascii="宋体" w:hAnsi="宋体" w:eastAsia="宋体" w:cs="宋体"/>
          <w:b/>
          <w:sz w:val="28"/>
          <w:szCs w:val="28"/>
        </w:rPr>
      </w:pPr>
    </w:p>
    <w:p>
      <w:pPr>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sz w:val="72"/>
          <w:szCs w:val="84"/>
        </w:rPr>
      </w:pPr>
      <w:r>
        <w:rPr>
          <w:rFonts w:hint="eastAsia" w:ascii="宋体" w:hAnsi="宋体" w:eastAsia="宋体" w:cs="宋体"/>
          <w:b/>
          <w:bCs/>
          <w:sz w:val="72"/>
          <w:szCs w:val="84"/>
          <w:lang w:val="zh-CN"/>
        </w:rPr>
        <w:t>政府采购竞争性</w:t>
      </w:r>
    </w:p>
    <w:p>
      <w:pPr>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sz w:val="72"/>
          <w:szCs w:val="84"/>
        </w:rPr>
      </w:pPr>
      <w:r>
        <w:rPr>
          <w:rFonts w:hint="eastAsia" w:ascii="宋体" w:hAnsi="宋体" w:eastAsia="宋体" w:cs="宋体"/>
          <w:b/>
          <w:bCs/>
          <w:sz w:val="72"/>
          <w:szCs w:val="84"/>
          <w:lang w:val="zh-CN"/>
        </w:rPr>
        <w:t>磋商文件</w:t>
      </w:r>
    </w:p>
    <w:p>
      <w:pPr>
        <w:pageBreakBefore w:val="0"/>
        <w:kinsoku/>
        <w:wordWrap/>
        <w:overflowPunct/>
        <w:topLinePunct w:val="0"/>
        <w:bidi w:val="0"/>
        <w:spacing w:line="360" w:lineRule="auto"/>
        <w:jc w:val="center"/>
        <w:textAlignment w:val="auto"/>
        <w:rPr>
          <w:rFonts w:hint="eastAsia" w:ascii="宋体" w:hAnsi="宋体" w:eastAsia="宋体" w:cs="宋体"/>
          <w:b/>
          <w:sz w:val="28"/>
          <w:szCs w:val="28"/>
          <w:highlight w:val="none"/>
        </w:rPr>
      </w:pPr>
    </w:p>
    <w:p>
      <w:pPr>
        <w:keepNext/>
        <w:keepLines/>
        <w:pageBreakBefore w:val="0"/>
        <w:kinsoku/>
        <w:wordWrap/>
        <w:overflowPunct/>
        <w:topLinePunct w:val="0"/>
        <w:autoSpaceDE w:val="0"/>
        <w:autoSpaceDN w:val="0"/>
        <w:bidi w:val="0"/>
        <w:adjustRightInd w:val="0"/>
        <w:spacing w:line="360" w:lineRule="auto"/>
        <w:ind w:right="210"/>
        <w:jc w:val="center"/>
        <w:textAlignment w:val="auto"/>
        <w:outlineLvl w:val="0"/>
        <w:rPr>
          <w:rFonts w:hint="eastAsia" w:ascii="宋体" w:hAnsi="宋体" w:eastAsia="宋体" w:cs="宋体"/>
          <w:b/>
          <w:sz w:val="36"/>
          <w:szCs w:val="44"/>
          <w:highlight w:val="none"/>
        </w:rPr>
      </w:pPr>
      <w:r>
        <w:rPr>
          <w:rFonts w:hint="eastAsia" w:ascii="宋体" w:hAnsi="宋体" w:eastAsia="宋体" w:cs="宋体"/>
          <w:b/>
          <w:sz w:val="36"/>
          <w:szCs w:val="44"/>
          <w:highlight w:val="none"/>
          <w:lang w:val="en-US" w:eastAsia="zh-CN"/>
        </w:rPr>
        <w:t>JSXDF2022090202</w:t>
      </w:r>
    </w:p>
    <w:p>
      <w:pPr>
        <w:pageBreakBefore w:val="0"/>
        <w:kinsoku/>
        <w:wordWrap/>
        <w:overflowPunct/>
        <w:topLinePunct w:val="0"/>
        <w:bidi w:val="0"/>
        <w:spacing w:line="360" w:lineRule="auto"/>
        <w:jc w:val="center"/>
        <w:textAlignment w:val="auto"/>
        <w:rPr>
          <w:rFonts w:hint="eastAsia" w:ascii="宋体" w:hAnsi="宋体" w:eastAsia="宋体" w:cs="宋体"/>
          <w:b/>
          <w:sz w:val="28"/>
          <w:szCs w:val="28"/>
        </w:rPr>
      </w:pPr>
    </w:p>
    <w:p>
      <w:pPr>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kern w:val="0"/>
          <w:sz w:val="20"/>
          <w:szCs w:val="20"/>
          <w:lang w:val="zh-CN"/>
        </w:rPr>
      </w:pPr>
      <w:r>
        <w:rPr>
          <w:rFonts w:hint="eastAsia" w:ascii="宋体" w:hAnsi="宋体" w:eastAsia="宋体" w:cs="宋体"/>
          <w:kern w:val="0"/>
          <w:sz w:val="20"/>
          <w:szCs w:val="20"/>
          <w:lang w:val="zh-CN"/>
        </w:rPr>
        <w:object>
          <v:shape id="_x0000_i1025" o:spt="75" type="#_x0000_t75" style="height:127.1pt;width:167.15pt;" o:ole="t" filled="f" o:preferrelative="t" stroked="f" coordsize="21600,21600">
            <v:path/>
            <v:fill on="f" focussize="0,0"/>
            <v:stroke on="f" joinstyle="miter"/>
            <v:imagedata r:id="rId9" o:title=""/>
            <o:lock v:ext="edit" aspectratio="t"/>
            <w10:wrap type="none"/>
            <w10:anchorlock/>
          </v:shape>
          <o:OLEObject Type="Embed" ProgID="MS_ClipArt_Gallery.5" ShapeID="_x0000_i1025" DrawAspect="Content" ObjectID="_1468075725" r:id="rId8">
            <o:LockedField>false</o:LockedField>
          </o:OLEObject>
        </w:object>
      </w:r>
    </w:p>
    <w:p>
      <w:pPr>
        <w:pStyle w:val="7"/>
        <w:rPr>
          <w:rFonts w:hint="eastAsia"/>
        </w:rPr>
      </w:pPr>
    </w:p>
    <w:p>
      <w:pPr>
        <w:rPr>
          <w:rFonts w:hint="eastAsia"/>
        </w:rPr>
      </w:pPr>
    </w:p>
    <w:p>
      <w:pPr>
        <w:autoSpaceDE w:val="0"/>
        <w:autoSpaceDN w:val="0"/>
        <w:adjustRightInd w:val="0"/>
        <w:spacing w:line="360" w:lineRule="auto"/>
        <w:ind w:firstLine="420"/>
        <w:jc w:val="center"/>
        <w:rPr>
          <w:rFonts w:hint="eastAsia"/>
          <w:szCs w:val="21"/>
        </w:rPr>
      </w:pPr>
    </w:p>
    <w:p>
      <w:pPr>
        <w:spacing w:line="500" w:lineRule="exact"/>
        <w:ind w:firstLine="1284" w:firstLineChars="400"/>
        <w:jc w:val="both"/>
        <w:rPr>
          <w:rFonts w:hint="default" w:ascii="华文中宋" w:hAnsi="华文中宋" w:eastAsia="华文中宋"/>
          <w:b/>
          <w:bCs/>
          <w:spacing w:val="20"/>
          <w:sz w:val="28"/>
          <w:szCs w:val="28"/>
          <w:lang w:val="en-US" w:eastAsia="zh-CN"/>
        </w:rPr>
      </w:pPr>
      <w:r>
        <w:rPr>
          <w:rFonts w:hint="eastAsia" w:ascii="华文中宋" w:hAnsi="华文中宋" w:eastAsia="华文中宋"/>
          <w:b/>
          <w:bCs/>
          <w:spacing w:val="20"/>
          <w:sz w:val="28"/>
          <w:szCs w:val="28"/>
        </w:rPr>
        <w:t>采购单位</w:t>
      </w:r>
      <w:r>
        <w:rPr>
          <w:rFonts w:hint="eastAsia" w:ascii="华文中宋" w:hAnsi="华文中宋" w:eastAsia="华文中宋"/>
          <w:b/>
          <w:bCs/>
          <w:spacing w:val="20"/>
          <w:sz w:val="28"/>
          <w:szCs w:val="28"/>
          <w:u w:val="single"/>
        </w:rPr>
        <w:t>：南通市生态环境</w:t>
      </w:r>
      <w:r>
        <w:rPr>
          <w:rFonts w:hint="eastAsia" w:ascii="华文中宋" w:hAnsi="华文中宋" w:eastAsia="华文中宋"/>
          <w:b/>
          <w:bCs/>
          <w:spacing w:val="20"/>
          <w:sz w:val="28"/>
          <w:szCs w:val="28"/>
          <w:u w:val="single"/>
          <w:lang w:eastAsia="zh-CN"/>
        </w:rPr>
        <w:t>监测站</w:t>
      </w:r>
      <w:r>
        <w:rPr>
          <w:rFonts w:hint="eastAsia" w:ascii="华文中宋" w:hAnsi="华文中宋" w:eastAsia="华文中宋"/>
          <w:b/>
          <w:bCs/>
          <w:spacing w:val="20"/>
          <w:sz w:val="28"/>
          <w:szCs w:val="28"/>
          <w:u w:val="single"/>
          <w:lang w:val="en-US" w:eastAsia="zh-CN"/>
        </w:rPr>
        <w:t xml:space="preserve">  </w:t>
      </w:r>
    </w:p>
    <w:p>
      <w:pPr>
        <w:spacing w:line="500" w:lineRule="exact"/>
        <w:jc w:val="center"/>
        <w:rPr>
          <w:rFonts w:hint="eastAsia" w:ascii="华文中宋" w:hAnsi="华文中宋" w:eastAsia="华文中宋"/>
          <w:b/>
          <w:bCs/>
          <w:spacing w:val="20"/>
          <w:sz w:val="28"/>
          <w:szCs w:val="28"/>
        </w:rPr>
      </w:pPr>
      <w:r>
        <w:rPr>
          <w:rFonts w:hint="eastAsia" w:ascii="华文中宋" w:hAnsi="华文中宋" w:eastAsia="华文中宋"/>
          <w:b/>
          <w:bCs/>
          <w:spacing w:val="20"/>
          <w:sz w:val="28"/>
          <w:szCs w:val="28"/>
        </w:rPr>
        <w:t>代理单位</w:t>
      </w:r>
      <w:r>
        <w:rPr>
          <w:rFonts w:hint="eastAsia" w:ascii="华文中宋" w:hAnsi="华文中宋" w:eastAsia="华文中宋"/>
          <w:b/>
          <w:bCs/>
          <w:spacing w:val="20"/>
          <w:sz w:val="28"/>
          <w:szCs w:val="28"/>
          <w:u w:val="single"/>
        </w:rPr>
        <w:t>：江苏新东方工程咨询管理有限公司</w:t>
      </w:r>
    </w:p>
    <w:p>
      <w:pPr>
        <w:spacing w:line="500" w:lineRule="exact"/>
        <w:jc w:val="center"/>
        <w:rPr>
          <w:rFonts w:hint="eastAsia" w:ascii="宋体" w:hAnsi="宋体" w:eastAsia="宋体" w:cs="宋体"/>
          <w:b/>
          <w:snapToGrid w:val="0"/>
          <w:sz w:val="26"/>
          <w:szCs w:val="28"/>
          <w:u w:val="single"/>
        </w:rPr>
      </w:pPr>
      <w:r>
        <w:rPr>
          <w:rFonts w:hint="eastAsia" w:ascii="华文中宋" w:hAnsi="华文中宋" w:eastAsia="华文中宋"/>
          <w:b/>
          <w:bCs/>
          <w:spacing w:val="20"/>
          <w:sz w:val="28"/>
          <w:szCs w:val="28"/>
          <w:highlight w:val="none"/>
        </w:rPr>
        <w:t>日期：</w:t>
      </w:r>
      <w:r>
        <w:rPr>
          <w:rFonts w:hint="eastAsia" w:ascii="华文中宋" w:hAnsi="华文中宋" w:eastAsia="华文中宋"/>
          <w:b/>
          <w:bCs/>
          <w:spacing w:val="20"/>
          <w:sz w:val="28"/>
          <w:szCs w:val="28"/>
          <w:highlight w:val="none"/>
          <w:u w:val="single"/>
        </w:rPr>
        <w:t>二〇二二年</w:t>
      </w:r>
      <w:r>
        <w:rPr>
          <w:rFonts w:hint="eastAsia" w:ascii="华文中宋" w:hAnsi="华文中宋" w:eastAsia="华文中宋"/>
          <w:b/>
          <w:bCs/>
          <w:spacing w:val="20"/>
          <w:sz w:val="28"/>
          <w:szCs w:val="28"/>
          <w:highlight w:val="none"/>
          <w:u w:val="single"/>
          <w:lang w:eastAsia="zh-CN"/>
        </w:rPr>
        <w:t>九</w:t>
      </w:r>
      <w:r>
        <w:rPr>
          <w:rFonts w:hint="eastAsia" w:ascii="华文中宋" w:hAnsi="华文中宋" w:eastAsia="华文中宋"/>
          <w:b/>
          <w:bCs/>
          <w:spacing w:val="20"/>
          <w:sz w:val="28"/>
          <w:szCs w:val="28"/>
          <w:highlight w:val="none"/>
          <w:u w:val="single"/>
        </w:rPr>
        <w:t>月</w:t>
      </w:r>
      <w:r>
        <w:rPr>
          <w:rFonts w:hint="eastAsia" w:ascii="宋体" w:hAnsi="宋体" w:eastAsia="宋体" w:cs="宋体"/>
          <w:b/>
          <w:bCs/>
          <w:sz w:val="44"/>
          <w:szCs w:val="44"/>
        </w:rPr>
        <w:br w:type="page"/>
      </w:r>
    </w:p>
    <w:p>
      <w:pPr>
        <w:pageBreakBefore w:val="0"/>
        <w:kinsoku/>
        <w:wordWrap/>
        <w:overflowPunct/>
        <w:topLinePunct w:val="0"/>
        <w:autoSpaceDE w:val="0"/>
        <w:autoSpaceDN w:val="0"/>
        <w:bidi w:val="0"/>
        <w:adjustRightInd w:val="0"/>
        <w:spacing w:before="319" w:beforeLines="100" w:after="319" w:afterLines="100" w:line="360" w:lineRule="auto"/>
        <w:jc w:val="center"/>
        <w:textAlignment w:val="auto"/>
        <w:outlineLvl w:val="0"/>
        <w:rPr>
          <w:rFonts w:hint="eastAsia" w:ascii="宋体" w:hAnsi="宋体" w:eastAsia="宋体" w:cs="宋体"/>
          <w:b/>
          <w:bCs/>
          <w:sz w:val="52"/>
          <w:szCs w:val="32"/>
          <w:lang w:val="zh-CN"/>
        </w:rPr>
      </w:pPr>
      <w:r>
        <w:rPr>
          <w:rFonts w:hint="eastAsia" w:ascii="宋体" w:hAnsi="宋体" w:eastAsia="宋体" w:cs="宋体"/>
          <w:b/>
          <w:bCs/>
          <w:sz w:val="52"/>
          <w:szCs w:val="32"/>
          <w:lang w:val="zh-CN"/>
        </w:rPr>
        <w:t>目录</w:t>
      </w:r>
    </w:p>
    <w:p>
      <w:pPr>
        <w:pageBreakBefore w:val="0"/>
        <w:widowControl/>
        <w:shd w:val="clear" w:color="auto" w:fill="FFFFFF"/>
        <w:kinsoku/>
        <w:wordWrap/>
        <w:overflowPunct/>
        <w:topLinePunct w:val="0"/>
        <w:bidi w:val="0"/>
        <w:spacing w:before="319" w:beforeLines="100" w:after="319" w:afterLines="100" w:line="360" w:lineRule="auto"/>
        <w:ind w:firstLine="643" w:firstLineChars="200"/>
        <w:jc w:val="left"/>
        <w:textAlignment w:val="auto"/>
        <w:rPr>
          <w:rFonts w:hint="eastAsia" w:ascii="宋体" w:hAnsi="宋体" w:eastAsia="宋体" w:cs="宋体"/>
          <w:b/>
          <w:sz w:val="32"/>
          <w:szCs w:val="28"/>
        </w:rPr>
      </w:pPr>
      <w:r>
        <w:rPr>
          <w:rFonts w:hint="eastAsia" w:ascii="宋体" w:hAnsi="宋体" w:eastAsia="宋体" w:cs="宋体"/>
          <w:b/>
          <w:sz w:val="32"/>
          <w:szCs w:val="28"/>
        </w:rPr>
        <w:t>第一部分  竞争性磋商公告</w:t>
      </w:r>
    </w:p>
    <w:p>
      <w:pPr>
        <w:pageBreakBefore w:val="0"/>
        <w:widowControl/>
        <w:shd w:val="clear" w:color="auto" w:fill="FFFFFF"/>
        <w:kinsoku/>
        <w:wordWrap/>
        <w:overflowPunct/>
        <w:topLinePunct w:val="0"/>
        <w:bidi w:val="0"/>
        <w:spacing w:before="319" w:beforeLines="100" w:after="319" w:afterLines="100" w:line="360" w:lineRule="auto"/>
        <w:ind w:firstLine="643" w:firstLineChars="200"/>
        <w:textAlignment w:val="auto"/>
        <w:rPr>
          <w:rFonts w:hint="eastAsia" w:ascii="宋体" w:hAnsi="宋体" w:eastAsia="宋体" w:cs="宋体"/>
          <w:b/>
          <w:sz w:val="32"/>
          <w:szCs w:val="28"/>
        </w:rPr>
      </w:pPr>
      <w:r>
        <w:rPr>
          <w:rFonts w:hint="eastAsia" w:ascii="宋体" w:hAnsi="宋体" w:eastAsia="宋体" w:cs="宋体"/>
          <w:b/>
          <w:sz w:val="32"/>
          <w:szCs w:val="28"/>
        </w:rPr>
        <w:t>第二部分  磋商须知</w:t>
      </w:r>
    </w:p>
    <w:p>
      <w:pPr>
        <w:pageBreakBefore w:val="0"/>
        <w:widowControl/>
        <w:shd w:val="clear" w:color="auto" w:fill="FFFFFF"/>
        <w:kinsoku/>
        <w:wordWrap/>
        <w:overflowPunct/>
        <w:topLinePunct w:val="0"/>
        <w:bidi w:val="0"/>
        <w:spacing w:before="319" w:beforeLines="100" w:after="319" w:afterLines="100" w:line="360" w:lineRule="auto"/>
        <w:ind w:firstLine="643" w:firstLineChars="200"/>
        <w:jc w:val="left"/>
        <w:textAlignment w:val="auto"/>
        <w:rPr>
          <w:rFonts w:hint="eastAsia" w:ascii="宋体" w:hAnsi="宋体" w:eastAsia="宋体" w:cs="宋体"/>
          <w:b/>
          <w:sz w:val="32"/>
          <w:szCs w:val="28"/>
        </w:rPr>
      </w:pPr>
      <w:r>
        <w:rPr>
          <w:rFonts w:hint="eastAsia" w:ascii="宋体" w:hAnsi="宋体" w:eastAsia="宋体" w:cs="宋体"/>
          <w:b/>
          <w:sz w:val="32"/>
          <w:szCs w:val="28"/>
        </w:rPr>
        <w:t>第三部分  项目需求</w:t>
      </w:r>
    </w:p>
    <w:p>
      <w:pPr>
        <w:pageBreakBefore w:val="0"/>
        <w:widowControl/>
        <w:shd w:val="clear" w:color="auto" w:fill="FFFFFF"/>
        <w:kinsoku/>
        <w:wordWrap/>
        <w:overflowPunct/>
        <w:topLinePunct w:val="0"/>
        <w:bidi w:val="0"/>
        <w:spacing w:before="319" w:beforeLines="100" w:after="319" w:afterLines="100" w:line="360" w:lineRule="auto"/>
        <w:ind w:firstLine="643" w:firstLineChars="200"/>
        <w:jc w:val="left"/>
        <w:textAlignment w:val="auto"/>
        <w:rPr>
          <w:rFonts w:hint="eastAsia" w:ascii="宋体" w:hAnsi="宋体" w:eastAsia="宋体" w:cs="宋体"/>
          <w:b/>
          <w:sz w:val="32"/>
          <w:szCs w:val="28"/>
        </w:rPr>
      </w:pPr>
      <w:r>
        <w:rPr>
          <w:rFonts w:hint="eastAsia" w:ascii="宋体" w:hAnsi="宋体" w:eastAsia="宋体" w:cs="宋体"/>
          <w:b/>
          <w:sz w:val="32"/>
          <w:szCs w:val="28"/>
        </w:rPr>
        <w:t>第四部分  磋商程序和内容</w:t>
      </w:r>
    </w:p>
    <w:p>
      <w:pPr>
        <w:pageBreakBefore w:val="0"/>
        <w:widowControl/>
        <w:shd w:val="clear" w:color="auto" w:fill="FFFFFF"/>
        <w:kinsoku/>
        <w:wordWrap/>
        <w:overflowPunct/>
        <w:topLinePunct w:val="0"/>
        <w:bidi w:val="0"/>
        <w:spacing w:before="319" w:beforeLines="100" w:after="319" w:afterLines="100" w:line="360" w:lineRule="auto"/>
        <w:ind w:firstLine="643" w:firstLineChars="200"/>
        <w:jc w:val="left"/>
        <w:textAlignment w:val="auto"/>
        <w:rPr>
          <w:rFonts w:hint="eastAsia" w:ascii="宋体" w:hAnsi="宋体" w:eastAsia="宋体" w:cs="宋体"/>
          <w:b/>
          <w:sz w:val="32"/>
          <w:szCs w:val="28"/>
        </w:rPr>
      </w:pPr>
      <w:r>
        <w:rPr>
          <w:rFonts w:hint="eastAsia" w:ascii="宋体" w:hAnsi="宋体" w:eastAsia="宋体" w:cs="宋体"/>
          <w:b/>
          <w:sz w:val="32"/>
          <w:szCs w:val="28"/>
        </w:rPr>
        <w:t>第五部分  合同签订与验收付款</w:t>
      </w:r>
    </w:p>
    <w:p>
      <w:pPr>
        <w:pageBreakBefore w:val="0"/>
        <w:widowControl/>
        <w:shd w:val="clear" w:color="auto" w:fill="FFFFFF"/>
        <w:kinsoku/>
        <w:wordWrap/>
        <w:overflowPunct/>
        <w:topLinePunct w:val="0"/>
        <w:bidi w:val="0"/>
        <w:spacing w:before="319" w:beforeLines="100" w:after="319" w:afterLines="100" w:line="360" w:lineRule="auto"/>
        <w:ind w:firstLine="643" w:firstLineChars="200"/>
        <w:jc w:val="left"/>
        <w:textAlignment w:val="auto"/>
        <w:rPr>
          <w:rFonts w:hint="eastAsia" w:ascii="宋体" w:hAnsi="宋体" w:eastAsia="宋体" w:cs="宋体"/>
          <w:b/>
          <w:sz w:val="32"/>
          <w:szCs w:val="28"/>
        </w:rPr>
      </w:pPr>
      <w:r>
        <w:rPr>
          <w:rFonts w:hint="eastAsia" w:ascii="宋体" w:hAnsi="宋体" w:eastAsia="宋体" w:cs="宋体"/>
          <w:b/>
          <w:sz w:val="32"/>
          <w:szCs w:val="28"/>
        </w:rPr>
        <w:t>第六部分  质疑提出和处理</w:t>
      </w:r>
    </w:p>
    <w:p>
      <w:pPr>
        <w:pageBreakBefore w:val="0"/>
        <w:widowControl/>
        <w:shd w:val="clear" w:color="auto" w:fill="FFFFFF"/>
        <w:kinsoku/>
        <w:wordWrap/>
        <w:overflowPunct/>
        <w:topLinePunct w:val="0"/>
        <w:bidi w:val="0"/>
        <w:spacing w:before="319" w:beforeLines="100" w:after="319" w:afterLines="100" w:line="360" w:lineRule="auto"/>
        <w:ind w:firstLine="643" w:firstLineChars="200"/>
        <w:jc w:val="left"/>
        <w:textAlignment w:val="auto"/>
        <w:rPr>
          <w:rFonts w:hint="eastAsia" w:ascii="宋体" w:hAnsi="宋体" w:eastAsia="宋体" w:cs="宋体"/>
          <w:b/>
          <w:sz w:val="32"/>
          <w:szCs w:val="28"/>
        </w:rPr>
      </w:pPr>
      <w:r>
        <w:rPr>
          <w:rFonts w:hint="eastAsia" w:ascii="宋体" w:hAnsi="宋体" w:eastAsia="宋体" w:cs="宋体"/>
          <w:b/>
          <w:sz w:val="32"/>
          <w:szCs w:val="28"/>
        </w:rPr>
        <w:t>第七部分  响应文件组成</w:t>
      </w:r>
    </w:p>
    <w:p>
      <w:pPr>
        <w:pageBreakBefore w:val="0"/>
        <w:widowControl/>
        <w:kinsoku/>
        <w:wordWrap/>
        <w:overflowPunct/>
        <w:topLinePunct w:val="0"/>
        <w:bidi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br w:type="page"/>
      </w:r>
    </w:p>
    <w:p>
      <w:pPr>
        <w:pStyle w:val="5"/>
        <w:pageBreakBefore w:val="0"/>
        <w:kinsoku/>
        <w:wordWrap/>
        <w:overflowPunct/>
        <w:topLinePunct w:val="0"/>
        <w:bidi w:val="0"/>
        <w:spacing w:before="159" w:beforeLines="50" w:after="159" w:afterLines="50" w:line="360" w:lineRule="auto"/>
        <w:jc w:val="center"/>
        <w:textAlignment w:val="auto"/>
        <w:rPr>
          <w:rFonts w:hint="eastAsia" w:ascii="宋体" w:hAnsi="宋体" w:eastAsia="宋体" w:cs="宋体"/>
          <w:sz w:val="36"/>
          <w:szCs w:val="36"/>
        </w:rPr>
      </w:pPr>
      <w:r>
        <w:rPr>
          <w:rFonts w:hint="eastAsia" w:ascii="宋体" w:hAnsi="宋体" w:eastAsia="宋体" w:cs="宋体"/>
          <w:sz w:val="36"/>
          <w:szCs w:val="36"/>
        </w:rPr>
        <w:t xml:space="preserve">第一部分 </w:t>
      </w:r>
      <w:bookmarkStart w:id="0" w:name="_Hlk81297243"/>
      <w:bookmarkStart w:id="1" w:name="_Hlk103330607"/>
      <w:r>
        <w:rPr>
          <w:rFonts w:hint="eastAsia" w:ascii="宋体" w:hAnsi="宋体" w:eastAsia="宋体" w:cs="宋体"/>
          <w:sz w:val="36"/>
          <w:szCs w:val="36"/>
        </w:rPr>
        <w:t>竞争性磋商公告</w:t>
      </w:r>
    </w:p>
    <w:bookmarkEnd w:id="0"/>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u w:val="none"/>
        </w:rPr>
      </w:pPr>
      <w:bookmarkStart w:id="2" w:name="OLE_LINK2"/>
      <w:bookmarkStart w:id="3" w:name="OLE_LINK3"/>
      <w:r>
        <w:rPr>
          <w:rFonts w:hint="eastAsia" w:ascii="宋体" w:hAnsi="宋体" w:eastAsia="宋体" w:cs="宋体"/>
          <w:sz w:val="24"/>
          <w:szCs w:val="24"/>
          <w:u w:val="single"/>
        </w:rPr>
        <w:t>江苏</w:t>
      </w:r>
      <w:r>
        <w:rPr>
          <w:rFonts w:hint="eastAsia" w:ascii="宋体" w:hAnsi="宋体" w:eastAsia="宋体" w:cs="宋体"/>
          <w:sz w:val="24"/>
          <w:szCs w:val="24"/>
          <w:u w:val="single"/>
          <w:lang w:eastAsia="zh-CN"/>
        </w:rPr>
        <w:t>新东方工程管理咨询</w:t>
      </w:r>
      <w:r>
        <w:rPr>
          <w:rFonts w:hint="eastAsia" w:ascii="宋体" w:hAnsi="宋体" w:eastAsia="宋体" w:cs="宋体"/>
          <w:sz w:val="24"/>
          <w:szCs w:val="24"/>
          <w:u w:val="single"/>
        </w:rPr>
        <w:t>有限公司</w:t>
      </w:r>
      <w:r>
        <w:rPr>
          <w:rFonts w:hint="eastAsia" w:ascii="宋体" w:hAnsi="宋体" w:eastAsia="宋体" w:cs="宋体"/>
          <w:sz w:val="24"/>
          <w:szCs w:val="24"/>
        </w:rPr>
        <w:t>（以下简称“代理机构”）受</w:t>
      </w:r>
      <w:r>
        <w:rPr>
          <w:rFonts w:hint="eastAsia" w:ascii="宋体" w:hAnsi="宋体" w:eastAsia="宋体" w:cs="宋体"/>
          <w:sz w:val="24"/>
          <w:szCs w:val="24"/>
          <w:u w:val="single"/>
        </w:rPr>
        <w:t>南通市生态环境</w:t>
      </w:r>
      <w:r>
        <w:rPr>
          <w:rFonts w:hint="eastAsia" w:ascii="宋体" w:hAnsi="宋体" w:eastAsia="宋体" w:cs="宋体"/>
          <w:sz w:val="24"/>
          <w:szCs w:val="24"/>
          <w:u w:val="single"/>
          <w:lang w:eastAsia="zh-CN"/>
        </w:rPr>
        <w:t>监测站</w:t>
      </w:r>
      <w:r>
        <w:rPr>
          <w:rFonts w:hint="eastAsia" w:ascii="宋体" w:hAnsi="宋体" w:eastAsia="宋体" w:cs="宋体"/>
          <w:sz w:val="24"/>
          <w:szCs w:val="24"/>
        </w:rPr>
        <w:t>委托，对其所需的</w:t>
      </w:r>
      <w:r>
        <w:rPr>
          <w:rFonts w:hint="eastAsia" w:ascii="宋体" w:hAnsi="宋体" w:eastAsia="宋体" w:cs="宋体"/>
          <w:sz w:val="24"/>
          <w:szCs w:val="24"/>
          <w:u w:val="single"/>
        </w:rPr>
        <w:t>2022-202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年度南通市</w:t>
      </w:r>
      <w:r>
        <w:rPr>
          <w:rFonts w:hint="eastAsia" w:ascii="宋体" w:hAnsi="宋体" w:eastAsia="宋体" w:cs="宋体"/>
          <w:sz w:val="24"/>
          <w:szCs w:val="24"/>
          <w:u w:val="single"/>
          <w:lang w:val="en-US" w:eastAsia="zh-CN"/>
        </w:rPr>
        <w:t>区</w:t>
      </w:r>
      <w:r>
        <w:rPr>
          <w:rFonts w:hint="eastAsia" w:ascii="宋体" w:hAnsi="宋体" w:eastAsia="宋体" w:cs="宋体"/>
          <w:sz w:val="24"/>
          <w:szCs w:val="24"/>
          <w:u w:val="single"/>
        </w:rPr>
        <w:t>噪声自动监测站运维服务项目</w:t>
      </w:r>
      <w:r>
        <w:rPr>
          <w:rFonts w:hint="eastAsia" w:ascii="宋体" w:hAnsi="宋体" w:eastAsia="宋体" w:cs="宋体"/>
          <w:sz w:val="24"/>
          <w:szCs w:val="24"/>
        </w:rPr>
        <w:t>以</w:t>
      </w:r>
      <w:r>
        <w:rPr>
          <w:rFonts w:hint="eastAsia" w:ascii="宋体" w:hAnsi="宋体" w:eastAsia="宋体" w:cs="宋体"/>
          <w:sz w:val="24"/>
          <w:szCs w:val="24"/>
          <w:u w:val="none"/>
        </w:rPr>
        <w:t>竞争性磋商方式组织采购。现公告如下：</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项目概况</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u w:val="single"/>
        </w:rPr>
        <w:t>2022-202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年度南通市</w:t>
      </w:r>
      <w:r>
        <w:rPr>
          <w:rFonts w:hint="eastAsia" w:ascii="宋体" w:hAnsi="宋体" w:eastAsia="宋体" w:cs="宋体"/>
          <w:sz w:val="24"/>
          <w:szCs w:val="24"/>
          <w:u w:val="single"/>
          <w:lang w:val="en-US" w:eastAsia="zh-CN"/>
        </w:rPr>
        <w:t>区</w:t>
      </w:r>
      <w:r>
        <w:rPr>
          <w:rFonts w:hint="eastAsia" w:ascii="宋体" w:hAnsi="宋体" w:eastAsia="宋体" w:cs="宋体"/>
          <w:sz w:val="24"/>
          <w:szCs w:val="24"/>
          <w:u w:val="single"/>
        </w:rPr>
        <w:t>噪声自动监测站运维服务项目</w:t>
      </w:r>
      <w:r>
        <w:rPr>
          <w:rFonts w:hint="eastAsia" w:ascii="宋体" w:hAnsi="宋体" w:eastAsia="宋体" w:cs="宋体"/>
          <w:sz w:val="24"/>
          <w:szCs w:val="24"/>
        </w:rPr>
        <w:t>的潜在供应商应在</w:t>
      </w:r>
      <w:r>
        <w:rPr>
          <w:rFonts w:hint="eastAsia" w:ascii="宋体" w:hAnsi="宋体" w:eastAsia="宋体" w:cs="宋体"/>
          <w:sz w:val="24"/>
          <w:szCs w:val="24"/>
          <w:u w:val="none"/>
        </w:rPr>
        <w:t>“南通市生态环境局</w:t>
      </w:r>
      <w:r>
        <w:rPr>
          <w:rFonts w:hint="eastAsia" w:ascii="宋体" w:hAnsi="宋体" w:eastAsia="宋体" w:cs="宋体"/>
          <w:sz w:val="24"/>
          <w:szCs w:val="24"/>
          <w:u w:val="none"/>
          <w:lang w:eastAsia="zh-CN"/>
        </w:rPr>
        <w:t>官</w:t>
      </w:r>
      <w:r>
        <w:rPr>
          <w:rFonts w:hint="eastAsia" w:ascii="宋体" w:hAnsi="宋体" w:eastAsia="宋体" w:cs="宋体"/>
          <w:sz w:val="24"/>
          <w:szCs w:val="24"/>
          <w:u w:val="none"/>
        </w:rPr>
        <w:t>网”</w:t>
      </w:r>
      <w:r>
        <w:rPr>
          <w:rFonts w:hint="eastAsia" w:ascii="宋体" w:hAnsi="宋体" w:eastAsia="宋体" w:cs="宋体"/>
          <w:sz w:val="24"/>
          <w:szCs w:val="24"/>
        </w:rPr>
        <w:t>获取采购文件，并于</w:t>
      </w:r>
      <w:r>
        <w:rPr>
          <w:rFonts w:hint="eastAsia" w:ascii="宋体" w:hAnsi="宋体" w:eastAsia="宋体" w:cs="宋体"/>
          <w:sz w:val="24"/>
          <w:szCs w:val="24"/>
          <w:highlight w:val="none"/>
          <w:u w:val="single"/>
          <w:lang w:val="en-US" w:eastAsia="zh-CN"/>
        </w:rPr>
        <w:t>2022</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9</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19</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u w:val="single"/>
          <w:lang w:val="en-US" w:eastAsia="zh-CN"/>
        </w:rPr>
        <w:t>14</w:t>
      </w:r>
      <w:r>
        <w:rPr>
          <w:rFonts w:hint="eastAsia" w:ascii="宋体" w:hAnsi="宋体" w:eastAsia="宋体" w:cs="宋体"/>
          <w:sz w:val="24"/>
          <w:szCs w:val="24"/>
          <w:highlight w:val="none"/>
          <w:u w:val="single"/>
        </w:rPr>
        <w:t>时</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sz w:val="24"/>
          <w:szCs w:val="24"/>
          <w:highlight w:val="none"/>
        </w:rPr>
        <w:t>（</w:t>
      </w:r>
      <w:r>
        <w:rPr>
          <w:rFonts w:hint="eastAsia" w:ascii="宋体" w:hAnsi="宋体" w:eastAsia="宋体" w:cs="宋体"/>
          <w:sz w:val="24"/>
          <w:szCs w:val="24"/>
        </w:rPr>
        <w:t>北京时间）前递交响应文件。</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一、项目基本情况</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项目编号：JSXDF2022090202</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项目名称：2022-2025年度南通市区噪声自动监测站运维服务项目</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b/>
          <w:sz w:val="24"/>
          <w:szCs w:val="24"/>
          <w:lang w:val="en-US" w:eastAsia="zh-CN"/>
        </w:rPr>
        <w:t>18万元/年，</w:t>
      </w:r>
      <w:r>
        <w:rPr>
          <w:rFonts w:hint="eastAsia" w:ascii="宋体" w:hAnsi="宋体" w:eastAsia="宋体" w:cs="宋体"/>
          <w:b/>
          <w:sz w:val="24"/>
          <w:szCs w:val="24"/>
        </w:rPr>
        <w:t>超过采购预算的为无效响应文件。</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采购需求：详见第三部分，请仔细研究。</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合同履行期限</w:t>
      </w:r>
      <w:r>
        <w:rPr>
          <w:rFonts w:hint="eastAsia" w:ascii="宋体" w:hAnsi="宋体" w:eastAsia="宋体" w:cs="宋体"/>
          <w:sz w:val="24"/>
          <w:szCs w:val="24"/>
          <w:lang w:eastAsia="zh-CN"/>
        </w:rPr>
        <w:t>：三年，合同一年一签。</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本项目不接受联合体。</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二、申请人的资格要求：</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（1）具有独立承担民事责任的能力；</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（2）具有良好的商业信誉和健全的财务会计制度；</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（3）具有履行合同所必需的设备和专业技术能力；</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（4）有依法缴纳税收和社会保障资金的良好记录；</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（5）参加政府采购活动前三年内，在经营活动中没有重大违法记录；</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（6）法律、行政法规规定的其他条件。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2.本项目的特定资格要求：</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）供应商未被“信用中国”网站列入失信被执行人、重大税收违法案件当事人名单、政府采购严重失信行为记录名单。</w:t>
      </w:r>
    </w:p>
    <w:p>
      <w:pPr>
        <w:spacing w:line="360" w:lineRule="auto"/>
        <w:ind w:firstLine="480" w:firstLineChars="200"/>
        <w:jc w:val="left"/>
        <w:rPr>
          <w:color w:val="000000"/>
          <w:sz w:val="24"/>
        </w:rPr>
      </w:pPr>
      <w:r>
        <w:rPr>
          <w:color w:val="000000"/>
          <w:sz w:val="24"/>
        </w:rPr>
        <w:t>（2）单位负责人为同一人或者存在直接控股、管理关系的不同供应商，不得同时参加同一合同项下的投标。</w:t>
      </w:r>
    </w:p>
    <w:p>
      <w:pPr>
        <w:spacing w:line="360" w:lineRule="auto"/>
        <w:ind w:firstLine="480" w:firstLineChars="200"/>
        <w:jc w:val="left"/>
        <w:rPr>
          <w:color w:val="000000"/>
          <w:sz w:val="24"/>
        </w:rPr>
      </w:pPr>
      <w:r>
        <w:rPr>
          <w:color w:val="000000"/>
          <w:sz w:val="24"/>
        </w:rPr>
        <w:t>（3）成交供应商不得将本项目分包或者转让给其他主体实施。</w:t>
      </w:r>
    </w:p>
    <w:p>
      <w:pPr>
        <w:pageBreakBefore w:val="0"/>
        <w:kinsoku/>
        <w:wordWrap/>
        <w:overflowPunct/>
        <w:topLinePunct w:val="0"/>
        <w:bidi w:val="0"/>
        <w:spacing w:line="360" w:lineRule="auto"/>
        <w:ind w:firstLine="240" w:firstLineChars="1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落实政府采</w:t>
      </w:r>
      <w:r>
        <w:rPr>
          <w:sz w:val="24"/>
        </w:rPr>
        <w:t>购政策需满足的资格要求：</w:t>
      </w:r>
      <w:r>
        <w:rPr>
          <w:rFonts w:hint="eastAsia" w:ascii="宋体" w:hAnsi="宋体" w:eastAsia="宋体" w:cs="宋体"/>
          <w:b/>
          <w:bCs/>
          <w:sz w:val="24"/>
          <w:szCs w:val="24"/>
          <w:highlight w:val="none"/>
          <w:lang w:eastAsia="zh-CN"/>
        </w:rPr>
        <w:t>本项目专门面向中小企业采购（须提供相关证明材料）</w:t>
      </w:r>
      <w:r>
        <w:rPr>
          <w:rFonts w:hint="eastAsia" w:ascii="宋体" w:hAnsi="宋体" w:eastAsia="宋体" w:cs="宋体"/>
          <w:b/>
          <w:bCs/>
          <w:sz w:val="24"/>
          <w:szCs w:val="24"/>
          <w:highlight w:val="none"/>
          <w:lang w:val="en-US" w:eastAsia="zh-CN"/>
        </w:rPr>
        <w:t>。</w:t>
      </w:r>
    </w:p>
    <w:p>
      <w:pPr>
        <w:pStyle w:val="19"/>
        <w:ind w:left="0" w:leftChars="0" w:firstLine="241" w:firstLineChars="100"/>
        <w:rPr>
          <w:rFonts w:hint="default"/>
          <w:lang w:val="en-US"/>
        </w:rPr>
      </w:pPr>
      <w:r>
        <w:rPr>
          <w:rFonts w:hint="eastAsia" w:ascii="宋体" w:hAnsi="宋体" w:eastAsia="宋体" w:cs="宋体"/>
          <w:b/>
          <w:bCs/>
          <w:sz w:val="24"/>
          <w:szCs w:val="24"/>
          <w:highlight w:val="none"/>
          <w:lang w:val="en-US" w:eastAsia="zh-CN"/>
        </w:rPr>
        <w:t>4.具体资格要求请详见第七章资格审查文件部分。</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三、获取采购文件和供应商响应</w:t>
      </w:r>
    </w:p>
    <w:p>
      <w:pPr>
        <w:shd w:val="clear" w:color="auto" w:fill="FFFFFF"/>
        <w:spacing w:line="360" w:lineRule="auto"/>
        <w:ind w:firstLine="480" w:firstLineChars="200"/>
        <w:rPr>
          <w:sz w:val="24"/>
          <w:highlight w:val="none"/>
        </w:rPr>
      </w:pPr>
      <w:r>
        <w:rPr>
          <w:sz w:val="24"/>
          <w:highlight w:val="none"/>
        </w:rPr>
        <w:t>1、时间：</w:t>
      </w:r>
      <w:r>
        <w:rPr>
          <w:kern w:val="0"/>
          <w:sz w:val="24"/>
          <w:highlight w:val="none"/>
          <w:u w:val="single"/>
        </w:rPr>
        <w:t>自本磋商公告发布之日起</w:t>
      </w:r>
      <w:r>
        <w:rPr>
          <w:kern w:val="0"/>
          <w:sz w:val="24"/>
          <w:highlight w:val="none"/>
        </w:rPr>
        <w:t>。</w:t>
      </w:r>
    </w:p>
    <w:p>
      <w:pPr>
        <w:spacing w:line="360" w:lineRule="auto"/>
        <w:ind w:firstLine="480" w:firstLineChars="200"/>
        <w:jc w:val="left"/>
        <w:rPr>
          <w:rFonts w:hint="eastAsia" w:ascii="宋体" w:hAnsi="宋体" w:eastAsia="宋体" w:cs="宋体"/>
          <w:b/>
          <w:sz w:val="24"/>
          <w:szCs w:val="24"/>
          <w:highlight w:val="none"/>
        </w:rPr>
      </w:pPr>
      <w:bookmarkStart w:id="4" w:name="_Toc387526277"/>
      <w:bookmarkStart w:id="5" w:name="_Toc387526173"/>
      <w:bookmarkStart w:id="6" w:name="_Toc387526369"/>
      <w:r>
        <w:rPr>
          <w:sz w:val="24"/>
          <w:highlight w:val="none"/>
        </w:rPr>
        <w:t>2、</w:t>
      </w:r>
      <w:r>
        <w:rPr>
          <w:kern w:val="0"/>
          <w:sz w:val="24"/>
          <w:highlight w:val="none"/>
        </w:rPr>
        <w:t>方式：</w:t>
      </w:r>
      <w:r>
        <w:rPr>
          <w:kern w:val="0"/>
          <w:sz w:val="24"/>
          <w:highlight w:val="none"/>
          <w:u w:val="single"/>
        </w:rPr>
        <w:t>本项目</w:t>
      </w:r>
      <w:r>
        <w:rPr>
          <w:sz w:val="24"/>
          <w:highlight w:val="none"/>
          <w:u w:val="single"/>
        </w:rPr>
        <w:t>资格审查采用资格后审方式，无报名环节，</w:t>
      </w:r>
      <w:r>
        <w:rPr>
          <w:color w:val="000000"/>
          <w:sz w:val="24"/>
          <w:highlight w:val="none"/>
          <w:u w:val="single"/>
        </w:rPr>
        <w:t>供应商直接从</w:t>
      </w:r>
      <w:r>
        <w:rPr>
          <w:rFonts w:hint="eastAsia"/>
          <w:color w:val="000000"/>
          <w:sz w:val="24"/>
          <w:highlight w:val="none"/>
          <w:u w:val="single"/>
          <w:lang w:eastAsia="zh-CN"/>
        </w:rPr>
        <w:t>“</w:t>
      </w:r>
      <w:r>
        <w:rPr>
          <w:kern w:val="0"/>
          <w:sz w:val="24"/>
          <w:u w:val="single"/>
        </w:rPr>
        <w:t>南通市生态环境局</w:t>
      </w:r>
      <w:r>
        <w:rPr>
          <w:rFonts w:hint="eastAsia"/>
          <w:kern w:val="0"/>
          <w:sz w:val="24"/>
          <w:u w:val="single"/>
          <w:lang w:eastAsia="zh-CN"/>
        </w:rPr>
        <w:t>官</w:t>
      </w:r>
      <w:r>
        <w:rPr>
          <w:rFonts w:hint="eastAsia" w:ascii="宋体" w:hAnsi="宋体" w:eastAsia="宋体" w:cs="宋体"/>
          <w:sz w:val="24"/>
          <w:szCs w:val="24"/>
          <w:highlight w:val="none"/>
          <w:u w:val="single"/>
        </w:rPr>
        <w:t>网</w:t>
      </w:r>
      <w:r>
        <w:rPr>
          <w:rFonts w:hint="eastAsia" w:eastAsia="宋体"/>
          <w:color w:val="000000"/>
          <w:sz w:val="24"/>
          <w:highlight w:val="none"/>
          <w:u w:val="single"/>
          <w:lang w:eastAsia="zh-CN"/>
        </w:rPr>
        <w:t>”</w:t>
      </w:r>
      <w:r>
        <w:rPr>
          <w:kern w:val="0"/>
          <w:sz w:val="24"/>
          <w:highlight w:val="none"/>
          <w:u w:val="single"/>
        </w:rPr>
        <w:t>自行下载磋商文件、答疑等磋商资料</w:t>
      </w:r>
      <w:r>
        <w:rPr>
          <w:kern w:val="0"/>
          <w:sz w:val="24"/>
          <w:highlight w:val="none"/>
        </w:rPr>
        <w:t>。</w:t>
      </w:r>
      <w:bookmarkEnd w:id="4"/>
      <w:bookmarkEnd w:id="5"/>
      <w:bookmarkEnd w:id="6"/>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售价</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元</w:t>
      </w:r>
      <w:r>
        <w:rPr>
          <w:rFonts w:hint="eastAsia" w:ascii="宋体" w:hAnsi="宋体" w:eastAsia="宋体" w:cs="宋体"/>
          <w:bCs/>
          <w:sz w:val="24"/>
          <w:szCs w:val="24"/>
        </w:rPr>
        <w:t>。</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四、响应文件提交</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lang w:val="en-US" w:eastAsia="zh-CN"/>
        </w:rPr>
        <w:t>1.</w:t>
      </w:r>
      <w:r>
        <w:rPr>
          <w:rFonts w:hint="eastAsia" w:ascii="宋体" w:hAnsi="宋体" w:eastAsia="宋体" w:cs="宋体"/>
          <w:sz w:val="24"/>
          <w:szCs w:val="24"/>
        </w:rPr>
        <w:t>截止时</w:t>
      </w:r>
      <w:r>
        <w:rPr>
          <w:rFonts w:hint="eastAsia" w:ascii="宋体" w:hAnsi="宋体" w:eastAsia="宋体" w:cs="宋体"/>
          <w:sz w:val="24"/>
          <w:szCs w:val="24"/>
          <w:highlight w:val="none"/>
        </w:rPr>
        <w:t>间：</w:t>
      </w:r>
      <w:r>
        <w:rPr>
          <w:rFonts w:hint="eastAsia" w:ascii="宋体" w:hAnsi="宋体" w:eastAsia="宋体" w:cs="宋体"/>
          <w:sz w:val="24"/>
          <w:szCs w:val="24"/>
          <w:highlight w:val="none"/>
          <w:u w:val="single"/>
          <w:lang w:val="en-US" w:eastAsia="zh-CN"/>
        </w:rPr>
        <w:t>2022</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9</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19</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u w:val="single"/>
          <w:lang w:val="en-US" w:eastAsia="zh-CN"/>
        </w:rPr>
        <w:t>14</w:t>
      </w:r>
      <w:r>
        <w:rPr>
          <w:rFonts w:hint="eastAsia" w:ascii="宋体" w:hAnsi="宋体" w:eastAsia="宋体" w:cs="宋体"/>
          <w:sz w:val="24"/>
          <w:szCs w:val="24"/>
          <w:highlight w:val="none"/>
          <w:u w:val="single"/>
        </w:rPr>
        <w:t>时</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sz w:val="24"/>
          <w:szCs w:val="24"/>
          <w:highlight w:val="none"/>
        </w:rPr>
        <w:t>（北京时间）</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地点：</w:t>
      </w:r>
      <w:r>
        <w:rPr>
          <w:b w:val="0"/>
          <w:bCs/>
          <w:sz w:val="24"/>
          <w:highlight w:val="none"/>
          <w:u w:val="single"/>
        </w:rPr>
        <w:t>南通市崇川区崇文路2号</w:t>
      </w:r>
      <w:r>
        <w:rPr>
          <w:rFonts w:hint="eastAsia"/>
          <w:b w:val="0"/>
          <w:bCs/>
          <w:sz w:val="24"/>
          <w:highlight w:val="none"/>
          <w:u w:val="single"/>
          <w:lang w:val="en-US" w:eastAsia="zh-CN"/>
        </w:rPr>
        <w:t>2115</w:t>
      </w:r>
      <w:r>
        <w:rPr>
          <w:b w:val="0"/>
          <w:bCs/>
          <w:sz w:val="24"/>
          <w:highlight w:val="none"/>
          <w:u w:val="single"/>
        </w:rPr>
        <w:t>会议室，</w:t>
      </w:r>
      <w:r>
        <w:rPr>
          <w:rFonts w:hint="eastAsia" w:ascii="宋体" w:hAnsi="宋体" w:eastAsia="宋体" w:cs="宋体"/>
          <w:sz w:val="24"/>
          <w:szCs w:val="24"/>
          <w:highlight w:val="none"/>
        </w:rPr>
        <w:t>（</w:t>
      </w:r>
      <w:r>
        <w:rPr>
          <w:rFonts w:hint="eastAsia" w:ascii="宋体" w:hAnsi="宋体" w:eastAsia="宋体" w:cs="宋体"/>
          <w:sz w:val="24"/>
          <w:szCs w:val="24"/>
        </w:rPr>
        <w:t>若有调整另行通知）。</w:t>
      </w:r>
    </w:p>
    <w:p>
      <w:pPr>
        <w:widowControl/>
        <w:spacing w:line="360" w:lineRule="auto"/>
        <w:ind w:firstLine="482" w:firstLineChars="200"/>
        <w:jc w:val="left"/>
        <w:rPr>
          <w:rFonts w:hint="eastAsia" w:ascii="宋体" w:hAnsi="宋体" w:eastAsia="宋体" w:cs="宋体"/>
          <w:sz w:val="24"/>
          <w:szCs w:val="24"/>
        </w:rPr>
      </w:pPr>
      <w:r>
        <w:rPr>
          <w:b/>
          <w:kern w:val="0"/>
          <w:sz w:val="24"/>
        </w:rPr>
        <w:t>特别提醒：</w:t>
      </w:r>
      <w:r>
        <w:rPr>
          <w:kern w:val="0"/>
          <w:sz w:val="24"/>
        </w:rPr>
        <w:t>在疫情防控期间严格执行登记问询制度，参加本项目投标的人员必须携带有效身份证件，规范佩戴口罩，接受实名登记，同时提供行程码、苏康码</w:t>
      </w:r>
      <w:r>
        <w:rPr>
          <w:rFonts w:hint="eastAsia"/>
          <w:kern w:val="0"/>
          <w:sz w:val="24"/>
        </w:rPr>
        <w:t>、</w:t>
      </w:r>
      <w:r>
        <w:rPr>
          <w:rFonts w:hint="eastAsia"/>
          <w:kern w:val="0"/>
          <w:sz w:val="24"/>
          <w:lang w:val="en-US" w:eastAsia="zh-CN"/>
        </w:rPr>
        <w:t>48</w:t>
      </w:r>
      <w:r>
        <w:rPr>
          <w:kern w:val="0"/>
          <w:sz w:val="24"/>
        </w:rPr>
        <w:t>小时内有效核酸检测报告。参加投标人员</w:t>
      </w:r>
      <w:r>
        <w:rPr>
          <w:rFonts w:hint="eastAsia"/>
          <w:kern w:val="0"/>
          <w:sz w:val="24"/>
        </w:rPr>
        <w:t>的</w:t>
      </w:r>
      <w:r>
        <w:rPr>
          <w:kern w:val="0"/>
          <w:sz w:val="24"/>
        </w:rPr>
        <w:t>行程码、苏康码</w:t>
      </w:r>
      <w:r>
        <w:rPr>
          <w:rFonts w:hint="eastAsia"/>
          <w:kern w:val="0"/>
          <w:sz w:val="24"/>
        </w:rPr>
        <w:t>须为不带“*”的</w:t>
      </w:r>
      <w:r>
        <w:rPr>
          <w:kern w:val="0"/>
          <w:sz w:val="24"/>
        </w:rPr>
        <w:t>“绿码”</w:t>
      </w:r>
      <w:r>
        <w:rPr>
          <w:rFonts w:hint="eastAsia"/>
          <w:kern w:val="0"/>
          <w:sz w:val="24"/>
        </w:rPr>
        <w:t>，</w:t>
      </w:r>
      <w:r>
        <w:rPr>
          <w:kern w:val="0"/>
          <w:sz w:val="24"/>
        </w:rPr>
        <w:t>核酸检测报告阴性方能参加开标。请自觉服从和配合现场工作人员调度安排，并在交易活动现场注意与他人保持安全距离、减少逗留时间。</w:t>
      </w:r>
      <w:r>
        <w:rPr>
          <w:rFonts w:hint="eastAsia"/>
          <w:kern w:val="0"/>
          <w:sz w:val="24"/>
        </w:rPr>
        <w:t>投标供应商须严格执行南通市疾病预防控制中心和新冠肺炎疫情防控指挥部有关疫情防控最新要求，做好疫情防控工作。</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五、开启</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rPr>
        <w:t>时间：</w:t>
      </w:r>
      <w:r>
        <w:rPr>
          <w:rFonts w:hint="eastAsia" w:ascii="宋体" w:hAnsi="宋体" w:eastAsia="宋体" w:cs="宋体"/>
          <w:sz w:val="24"/>
          <w:szCs w:val="24"/>
          <w:highlight w:val="none"/>
          <w:u w:val="single"/>
          <w:lang w:val="en-US" w:eastAsia="zh-CN"/>
        </w:rPr>
        <w:t>2022</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9</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19</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u w:val="single"/>
          <w:lang w:val="en-US" w:eastAsia="zh-CN"/>
        </w:rPr>
        <w:t>14</w:t>
      </w:r>
      <w:r>
        <w:rPr>
          <w:rFonts w:hint="eastAsia" w:ascii="宋体" w:hAnsi="宋体" w:eastAsia="宋体" w:cs="宋体"/>
          <w:sz w:val="24"/>
          <w:szCs w:val="24"/>
          <w:highlight w:val="none"/>
          <w:u w:val="single"/>
        </w:rPr>
        <w:t>时</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（北京时间）</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none"/>
        </w:rPr>
        <w:t>地点：</w:t>
      </w:r>
      <w:r>
        <w:rPr>
          <w:b w:val="0"/>
          <w:bCs/>
          <w:sz w:val="24"/>
          <w:highlight w:val="none"/>
          <w:u w:val="single"/>
        </w:rPr>
        <w:t>南通市崇川区崇文路2号</w:t>
      </w:r>
      <w:r>
        <w:rPr>
          <w:rFonts w:hint="eastAsia"/>
          <w:b w:val="0"/>
          <w:bCs/>
          <w:sz w:val="24"/>
          <w:highlight w:val="none"/>
          <w:u w:val="single"/>
          <w:lang w:val="en-US" w:eastAsia="zh-CN"/>
        </w:rPr>
        <w:t>2115</w:t>
      </w:r>
      <w:r>
        <w:rPr>
          <w:b w:val="0"/>
          <w:bCs/>
          <w:sz w:val="24"/>
          <w:highlight w:val="none"/>
          <w:u w:val="single"/>
        </w:rPr>
        <w:t>会议室</w:t>
      </w:r>
      <w:r>
        <w:rPr>
          <w:rFonts w:hint="eastAsia" w:ascii="宋体" w:hAnsi="宋体" w:eastAsia="宋体" w:cs="宋体"/>
          <w:sz w:val="24"/>
          <w:szCs w:val="24"/>
        </w:rPr>
        <w:t>（若有调整，招标代理机构将另行通知）。</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六、公告期限</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七、对本次采购提出询问，请按以下方式联系。</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名称：</w:t>
      </w:r>
      <w:r>
        <w:rPr>
          <w:rFonts w:hint="eastAsia" w:ascii="宋体" w:hAnsi="宋体" w:eastAsia="宋体" w:cs="宋体"/>
          <w:sz w:val="24"/>
          <w:szCs w:val="24"/>
          <w:u w:val="single"/>
        </w:rPr>
        <w:t>南通市生态环境</w:t>
      </w:r>
      <w:r>
        <w:rPr>
          <w:rFonts w:hint="eastAsia" w:ascii="宋体" w:hAnsi="宋体" w:eastAsia="宋体" w:cs="宋体"/>
          <w:sz w:val="24"/>
          <w:szCs w:val="24"/>
          <w:u w:val="single"/>
          <w:lang w:eastAsia="zh-CN"/>
        </w:rPr>
        <w:t>监测站</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南通市通州区朝霞路369号5号楼</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联系方式：</w:t>
      </w:r>
      <w:r>
        <w:rPr>
          <w:rFonts w:hint="eastAsia" w:ascii="宋体" w:hAnsi="宋体" w:eastAsia="宋体" w:cs="宋体"/>
          <w:sz w:val="24"/>
          <w:szCs w:val="24"/>
          <w:u w:val="single"/>
        </w:rPr>
        <w:t>张女士</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13390992898</w:t>
      </w:r>
      <w:r>
        <w:rPr>
          <w:rFonts w:hint="eastAsia" w:ascii="宋体" w:hAnsi="宋体" w:eastAsia="宋体" w:cs="宋体"/>
          <w:sz w:val="24"/>
          <w:szCs w:val="24"/>
          <w:u w:val="single"/>
          <w:lang w:val="en-US" w:eastAsia="zh-CN"/>
        </w:rPr>
        <w:t>)</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名 称：</w:t>
      </w:r>
      <w:r>
        <w:rPr>
          <w:rFonts w:hint="eastAsia" w:ascii="宋体" w:hAnsi="宋体" w:eastAsia="宋体" w:cs="宋体"/>
          <w:sz w:val="24"/>
          <w:szCs w:val="24"/>
          <w:u w:val="single"/>
        </w:rPr>
        <w:t>江苏</w:t>
      </w:r>
      <w:r>
        <w:rPr>
          <w:rFonts w:hint="eastAsia" w:ascii="宋体" w:hAnsi="宋体" w:eastAsia="宋体" w:cs="宋体"/>
          <w:sz w:val="24"/>
          <w:szCs w:val="24"/>
          <w:u w:val="single"/>
          <w:lang w:eastAsia="zh-CN"/>
        </w:rPr>
        <w:t>新东方工程管理咨询有限公司</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地址：</w:t>
      </w:r>
      <w:r>
        <w:rPr>
          <w:rFonts w:hint="eastAsia" w:ascii="宋体" w:hAnsi="宋体" w:eastAsia="宋体" w:cs="宋体"/>
          <w:sz w:val="24"/>
          <w:szCs w:val="24"/>
          <w:u w:val="single"/>
        </w:rPr>
        <w:t>南通市崇川区永扬路9号永和大厦4幢13层</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8"/>
          <w:szCs w:val="28"/>
          <w:u w:val="single"/>
        </w:rPr>
      </w:pPr>
      <w:r>
        <w:rPr>
          <w:rFonts w:hint="eastAsia" w:ascii="宋体" w:hAnsi="宋体" w:eastAsia="宋体" w:cs="宋体"/>
          <w:sz w:val="24"/>
          <w:szCs w:val="24"/>
        </w:rPr>
        <w:t>联系方式</w:t>
      </w:r>
      <w:r>
        <w:rPr>
          <w:rFonts w:hint="eastAsia" w:ascii="宋体" w:hAnsi="宋体" w:eastAsia="宋体" w:cs="宋体"/>
          <w:sz w:val="24"/>
          <w:szCs w:val="24"/>
          <w:u w:val="none"/>
        </w:rPr>
        <w:t>：</w:t>
      </w:r>
      <w:r>
        <w:rPr>
          <w:rFonts w:hint="eastAsia" w:ascii="宋体" w:hAnsi="宋体" w:eastAsia="宋体" w:cs="宋体"/>
          <w:sz w:val="24"/>
          <w:szCs w:val="24"/>
          <w:u w:val="single"/>
          <w:lang w:eastAsia="zh-CN"/>
        </w:rPr>
        <w:t>刘</w:t>
      </w:r>
      <w:r>
        <w:rPr>
          <w:rFonts w:hint="eastAsia" w:ascii="宋体" w:hAnsi="宋体" w:eastAsia="宋体" w:cs="宋体"/>
          <w:sz w:val="24"/>
          <w:szCs w:val="24"/>
          <w:highlight w:val="none"/>
          <w:u w:val="single"/>
        </w:rPr>
        <w:t>女士</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电话：</w:t>
      </w:r>
      <w:r>
        <w:rPr>
          <w:rFonts w:hint="eastAsia" w:ascii="宋体" w:hAnsi="宋体" w:eastAsia="宋体" w:cs="宋体"/>
          <w:sz w:val="24"/>
          <w:szCs w:val="24"/>
          <w:highlight w:val="none"/>
          <w:u w:val="single"/>
          <w:lang w:val="en-US" w:eastAsia="zh-CN"/>
        </w:rPr>
        <w:t>18851410811</w:t>
      </w:r>
      <w:r>
        <w:rPr>
          <w:rFonts w:hint="eastAsia" w:ascii="宋体" w:hAnsi="宋体" w:eastAsia="宋体" w:cs="宋体"/>
          <w:sz w:val="24"/>
          <w:szCs w:val="24"/>
          <w:highlight w:val="none"/>
          <w:u w:val="single"/>
        </w:rPr>
        <w:t>）</w:t>
      </w:r>
      <w:bookmarkEnd w:id="1"/>
      <w:bookmarkEnd w:id="2"/>
      <w:bookmarkEnd w:id="3"/>
    </w:p>
    <w:p>
      <w:pPr>
        <w:spacing w:line="360" w:lineRule="auto"/>
        <w:ind w:firstLine="480" w:firstLineChars="200"/>
        <w:jc w:val="left"/>
        <w:rPr>
          <w:color w:val="000000"/>
          <w:kern w:val="0"/>
          <w:sz w:val="24"/>
        </w:rPr>
      </w:pPr>
      <w:r>
        <w:rPr>
          <w:color w:val="000000"/>
          <w:kern w:val="0"/>
          <w:sz w:val="24"/>
        </w:rPr>
        <w:t>电子邮箱：</w:t>
      </w:r>
      <w:r>
        <w:rPr>
          <w:rFonts w:hint="eastAsia"/>
          <w:color w:val="000000"/>
          <w:kern w:val="0"/>
          <w:sz w:val="24"/>
          <w:u w:val="single"/>
          <w:lang w:val="en-US" w:eastAsia="zh-CN"/>
        </w:rPr>
        <w:t>357601028</w:t>
      </w:r>
      <w:r>
        <w:rPr>
          <w:color w:val="000000"/>
          <w:kern w:val="0"/>
          <w:sz w:val="24"/>
          <w:u w:val="single"/>
        </w:rPr>
        <w:t>@qq.com</w:t>
      </w:r>
    </w:p>
    <w:p>
      <w:pPr>
        <w:pageBreakBefore w:val="0"/>
        <w:widowControl/>
        <w:kinsoku/>
        <w:wordWrap/>
        <w:overflowPunct/>
        <w:topLinePunct w:val="0"/>
        <w:bidi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br w:type="page"/>
      </w:r>
    </w:p>
    <w:p>
      <w:pPr>
        <w:pStyle w:val="5"/>
        <w:pageBreakBefore w:val="0"/>
        <w:kinsoku/>
        <w:wordWrap/>
        <w:overflowPunct/>
        <w:topLinePunct w:val="0"/>
        <w:bidi w:val="0"/>
        <w:spacing w:before="159" w:beforeLines="50" w:after="159" w:afterLines="50" w:line="360" w:lineRule="auto"/>
        <w:jc w:val="center"/>
        <w:textAlignment w:val="auto"/>
        <w:rPr>
          <w:rFonts w:hint="eastAsia" w:ascii="宋体" w:hAnsi="宋体" w:eastAsia="宋体" w:cs="宋体"/>
          <w:sz w:val="36"/>
          <w:szCs w:val="36"/>
        </w:rPr>
      </w:pPr>
      <w:r>
        <w:rPr>
          <w:rFonts w:hint="eastAsia" w:ascii="宋体" w:hAnsi="宋体" w:eastAsia="宋体" w:cs="宋体"/>
          <w:sz w:val="36"/>
          <w:szCs w:val="36"/>
        </w:rPr>
        <w:t>第二部分 磋商须知</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一、本磋商文件由代理机构解释</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b/>
          <w:color w:val="FF0000"/>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w:t>
      </w:r>
      <w:r>
        <w:rPr>
          <w:rFonts w:hint="eastAsia" w:ascii="宋体" w:hAnsi="宋体" w:eastAsia="宋体" w:cs="宋体"/>
          <w:sz w:val="24"/>
          <w:szCs w:val="24"/>
        </w:rPr>
        <w:t>供应商在获取磋商文件后，应仔细检查磋商文件的所有内容，如对政府采购活动事项有疑问的，应向采购人或代理机构以书面形式提出，否则视同供应商理解并接受本磋商文件所有内容，并由此引起的损失自负。供应商不得在磋商结束后针对磋商文件所有内容提出质疑事项。</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供应商应认真审阅磋商文件中所有的事项、格式、条款和规范要求等，如果供应商没有按照磋商文件要求提交响应文件，或者响应文件没有对磋商文件做出实质性响应，将被拒绝参与磋商。</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二、磋商文件的澄清、修改、答疑</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本</w:t>
      </w:r>
      <w:r>
        <w:rPr>
          <w:rFonts w:hint="eastAsia" w:ascii="宋体" w:hAnsi="宋体" w:eastAsia="宋体" w:cs="宋体"/>
          <w:sz w:val="24"/>
          <w:szCs w:val="24"/>
          <w:lang w:val="zh-CN"/>
        </w:rPr>
        <w:t>代理机构可以对已发出的磋商文件进行必要的澄清或者修改，澄清或者修改的内容作为磋商文件的组成部分。澄清或者修改的内容可能影响响应文件编制的，代理机构将在提交首次响应文件截止之日5日前，以公告书面形式（包括电子邮件发送盖章扫描件）通知所有接收磋商文件的供应商，不足5日的，应当顺延提交首次响应文件截止之日。</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供应商由于对磋商文件的任何推论和误解以及本代理机构对有关问题的口头解释所造成的后果，均由供应商自负。</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本代理机构或采购单位可视情组织答疑会。</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zh-CN"/>
        </w:rPr>
        <w:t>三、响应文件的编写、份数和签署</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zh-CN"/>
        </w:rPr>
        <w:t>1.供应商按“第七部分响应文件组成”要求编写响应文件，自编目录并连续标注页码，不得将内容拆开，并牢固装订成册。响应文件均需采用A4纸（</w:t>
      </w:r>
      <w:r>
        <w:rPr>
          <w:rFonts w:hint="eastAsia" w:ascii="宋体" w:hAnsi="宋体" w:eastAsia="宋体" w:cs="宋体"/>
          <w:sz w:val="24"/>
          <w:szCs w:val="24"/>
        </w:rPr>
        <w:t>图纸等除外），不允许使用活页夹、拉杆夹、文件夹、塑料方便式书脊（插入式或穿孔式）装订。响应文件不得行间插字、涂改、增删，如修补错漏处，须经响应文件签署人签字并加盖公章。</w:t>
      </w:r>
    </w:p>
    <w:p>
      <w:pPr>
        <w:snapToGrid w:val="0"/>
        <w:spacing w:line="360" w:lineRule="auto"/>
        <w:ind w:firstLine="480" w:firstLineChars="200"/>
        <w:jc w:val="left"/>
        <w:rPr>
          <w:rFonts w:hint="eastAsia"/>
        </w:rPr>
      </w:pPr>
      <w:r>
        <w:rPr>
          <w:rFonts w:hint="eastAsia"/>
          <w:color w:val="000000"/>
          <w:sz w:val="24"/>
          <w:lang w:val="en-US" w:eastAsia="zh-CN"/>
        </w:rPr>
        <w:t>2</w:t>
      </w:r>
      <w:r>
        <w:rPr>
          <w:rFonts w:hint="eastAsia" w:ascii="宋体" w:hAnsi="宋体" w:eastAsia="宋体" w:cs="宋体"/>
          <w:sz w:val="24"/>
          <w:szCs w:val="24"/>
          <w:lang w:val="zh-CN"/>
        </w:rPr>
        <w:t>.</w:t>
      </w:r>
      <w:r>
        <w:rPr>
          <w:color w:val="000000"/>
          <w:sz w:val="24"/>
        </w:rPr>
        <w:t>响应文件的资格审查资料、商务技术响应文件、价格响应文件均为</w:t>
      </w:r>
      <w:r>
        <w:rPr>
          <w:b/>
          <w:bCs/>
          <w:color w:val="000000"/>
          <w:sz w:val="24"/>
          <w:u w:val="single"/>
          <w:lang w:val="zh-CN"/>
        </w:rPr>
        <w:t>一</w:t>
      </w:r>
      <w:r>
        <w:rPr>
          <w:b/>
          <w:bCs/>
          <w:color w:val="000000"/>
          <w:sz w:val="24"/>
          <w:u w:val="single"/>
        </w:rPr>
        <w:t>份正本和二份副本</w:t>
      </w:r>
      <w:r>
        <w:rPr>
          <w:color w:val="000000"/>
          <w:sz w:val="24"/>
        </w:rPr>
        <w:t>，并明确标注</w:t>
      </w:r>
      <w:r>
        <w:rPr>
          <w:color w:val="000000"/>
          <w:sz w:val="24"/>
          <w:lang w:val="zh-CN"/>
        </w:rPr>
        <w:t>供应商全称、</w:t>
      </w:r>
      <w:r>
        <w:rPr>
          <w:color w:val="000000"/>
          <w:sz w:val="24"/>
        </w:rPr>
        <w:t>“正本”、“副本”字样。</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w:t>
      </w:r>
      <w:r>
        <w:rPr>
          <w:rFonts w:hint="eastAsia" w:ascii="宋体" w:hAnsi="宋体" w:eastAsia="宋体" w:cs="宋体"/>
          <w:sz w:val="24"/>
          <w:szCs w:val="24"/>
        </w:rPr>
        <w:t>响应文件正本须打印并由法定代表人或授权人签字并加盖单位印章。副本可复印，但须加盖单位印章。</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w:t>
      </w:r>
      <w:r>
        <w:rPr>
          <w:rFonts w:hint="eastAsia" w:ascii="宋体" w:hAnsi="宋体" w:eastAsia="宋体" w:cs="宋体"/>
          <w:sz w:val="24"/>
          <w:szCs w:val="24"/>
        </w:rPr>
        <w:t>本代理机构将拒绝接收未按照磋商文件要求的响应文件。</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四、响应文件的密封及标记</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w:t>
      </w:r>
      <w:r>
        <w:rPr>
          <w:rFonts w:hint="eastAsia" w:ascii="宋体" w:hAnsi="宋体" w:eastAsia="宋体" w:cs="宋体"/>
          <w:sz w:val="24"/>
          <w:szCs w:val="24"/>
        </w:rPr>
        <w:t>商务技术文件应将正本、副本及图纸类等（如需提供图纸等其它资料的话）合并密封，统一装在一个密封袋或密封箱内（如有A3大小的图纸类，可单独密封）。</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响应报价表须单独密封，不得出现于其他响应文件中。</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w:t>
      </w:r>
      <w:r>
        <w:rPr>
          <w:color w:val="000000"/>
          <w:sz w:val="24"/>
        </w:rPr>
        <w:t>响应文件的资格审查资料、技术商务响应文件和价格响应文件应</w:t>
      </w:r>
      <w:r>
        <w:rPr>
          <w:b/>
          <w:color w:val="000000"/>
          <w:sz w:val="24"/>
        </w:rPr>
        <w:t>分别密封</w:t>
      </w:r>
      <w:r>
        <w:rPr>
          <w:color w:val="000000"/>
          <w:sz w:val="24"/>
        </w:rPr>
        <w:t>，并在封袋上写明 “资格审查资料”、“商务技术响应文件”、“价格响应文件”，同时还要写明项目名称、供应商名称。封袋上应加盖供应商公章</w:t>
      </w:r>
      <w:r>
        <w:rPr>
          <w:rFonts w:hint="eastAsia" w:ascii="宋体" w:hAnsi="宋体" w:eastAsia="宋体" w:cs="宋体"/>
          <w:sz w:val="24"/>
          <w:szCs w:val="24"/>
        </w:rPr>
        <w:t>。</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sz w:val="24"/>
          <w:szCs w:val="24"/>
        </w:rPr>
        <w:t>本代理机构将拒绝接收未按照磋商文件要求密封的响应文件。</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五、报价准备</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1.磋商结束后，供应商就所有内容进行最终报价，少报无效。</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2.最后报价应包括本项目的全部费用</w:t>
      </w:r>
      <w:r>
        <w:rPr>
          <w:rFonts w:hint="eastAsia" w:ascii="宋体" w:eastAsia="宋体" w:cs="宋体"/>
          <w:sz w:val="24"/>
          <w:szCs w:val="24"/>
          <w:lang w:val="zh-CN"/>
        </w:rPr>
        <w:t>，</w:t>
      </w:r>
      <w:r>
        <w:rPr>
          <w:rFonts w:ascii="Times New Roman" w:eastAsia="宋体"/>
          <w:color w:val="000000"/>
          <w:sz w:val="24"/>
          <w:szCs w:val="24"/>
        </w:rPr>
        <w:t>含无线通讯费</w:t>
      </w:r>
      <w:r>
        <w:rPr>
          <w:rFonts w:hint="eastAsia" w:ascii="Times New Roman" w:eastAsia="宋体"/>
          <w:color w:val="000000"/>
          <w:sz w:val="24"/>
          <w:szCs w:val="24"/>
        </w:rPr>
        <w:t>、</w:t>
      </w:r>
      <w:r>
        <w:rPr>
          <w:rFonts w:ascii="Times New Roman" w:eastAsia="宋体"/>
          <w:color w:val="000000"/>
          <w:sz w:val="24"/>
          <w:szCs w:val="24"/>
        </w:rPr>
        <w:t>房租、电费</w:t>
      </w:r>
      <w:r>
        <w:rPr>
          <w:rFonts w:hint="eastAsia" w:ascii="Times New Roman" w:eastAsia="宋体"/>
          <w:color w:val="000000"/>
          <w:sz w:val="24"/>
          <w:szCs w:val="24"/>
        </w:rPr>
        <w:t>等</w:t>
      </w:r>
      <w:r>
        <w:rPr>
          <w:rFonts w:ascii="Times New Roman" w:eastAsia="宋体"/>
          <w:color w:val="000000"/>
          <w:sz w:val="24"/>
          <w:szCs w:val="24"/>
        </w:rPr>
        <w:t>，所用维修维护器件、备品和配件等需为原仪器设备厂家生产或进口同类产品，同时承担每年一次的声级计计量检定费用（需送至江苏省内合格计量检定单位，并提供有效的检定证书）。</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3.最终报价不得超过预算，不得超过首次报价。（最终报价超过预算或首次报价的，价格标无效，价格分为零分。）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4.最后报价将作为磋商小组评定成交供应商的组成依据。</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5.供应商提交的最终报价明显低于其他通过符合性审查供应商的报价，有可能影响产品质量或者不能诚信履约的，应当在评标现场合理的时间内（一般为10分钟，特殊情况下可申请延长）提供书面说明，提交相关证明材料；供应商不能证明其报价合理性的，评标委员会应当将其作为无效投标处理。</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六、响应文件的递交时间</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1.供应商必须在规定的响应文件接收截止时间前送达指定地点。招标代理机构将拒绝接收在响应文件接收截止时间后递交的响应文件。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2.投标有效期自提交投标文件的截止之日起算，为</w:t>
      </w:r>
      <w:r>
        <w:rPr>
          <w:color w:val="000000"/>
          <w:sz w:val="24"/>
        </w:rPr>
        <w:t>45个自然日</w:t>
      </w:r>
      <w:r>
        <w:rPr>
          <w:rFonts w:hint="eastAsia" w:ascii="宋体" w:hAnsi="宋体" w:eastAsia="宋体" w:cs="宋体"/>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sz w:val="24"/>
          <w:szCs w:val="24"/>
          <w:lang w:val="zh-CN" w:eastAsia="zh-CN"/>
        </w:rPr>
        <w:t>七</w:t>
      </w:r>
      <w:r>
        <w:rPr>
          <w:rFonts w:hint="eastAsia" w:ascii="宋体" w:hAnsi="宋体" w:eastAsia="宋体" w:cs="宋体"/>
          <w:b/>
          <w:sz w:val="24"/>
          <w:szCs w:val="24"/>
          <w:lang w:val="zh-CN"/>
        </w:rPr>
        <w:t>、</w:t>
      </w:r>
      <w:r>
        <w:rPr>
          <w:rFonts w:hint="eastAsia" w:ascii="宋体" w:hAnsi="宋体" w:eastAsia="宋体" w:cs="宋体"/>
          <w:b/>
          <w:bCs/>
          <w:sz w:val="24"/>
          <w:szCs w:val="24"/>
        </w:rPr>
        <w:t>相关费用</w:t>
      </w:r>
    </w:p>
    <w:p>
      <w:p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1、供应商应承担其编制响应文件以及递交响应文件所涉及的一切费用。无论磋商结果如何，采购人对上述费用不负任何责任。</w:t>
      </w:r>
    </w:p>
    <w:p>
      <w:p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2、本次磋商采购代理服务费人民币2000元整，供应商须综合考虑在响应报价内（不得单列），由成交供应商承担并在领取成交通知书前支付给采购代理机构。</w:t>
      </w:r>
    </w:p>
    <w:p>
      <w:pPr>
        <w:pageBreakBefore w:val="0"/>
        <w:kinsoku/>
        <w:wordWrap/>
        <w:overflowPunct/>
        <w:topLinePunct w:val="0"/>
        <w:bidi w:val="0"/>
        <w:spacing w:line="360" w:lineRule="auto"/>
        <w:ind w:firstLine="561"/>
        <w:jc w:val="left"/>
        <w:textAlignment w:val="auto"/>
        <w:rPr>
          <w:rFonts w:hint="eastAsia" w:ascii="宋体" w:hAnsi="宋体" w:eastAsia="宋体" w:cs="宋体"/>
          <w:bCs/>
          <w:sz w:val="24"/>
          <w:szCs w:val="24"/>
        </w:rPr>
      </w:pPr>
      <w:r>
        <w:rPr>
          <w:rFonts w:hint="eastAsia" w:ascii="宋体" w:hAnsi="宋体" w:eastAsia="宋体" w:cs="宋体"/>
          <w:b/>
          <w:sz w:val="24"/>
          <w:szCs w:val="24"/>
          <w:highlight w:val="none"/>
          <w:lang w:val="zh-CN"/>
        </w:rPr>
        <w:t>八</w:t>
      </w:r>
      <w:r>
        <w:rPr>
          <w:rFonts w:hint="eastAsia" w:ascii="宋体" w:hAnsi="宋体" w:eastAsia="宋体" w:cs="宋体"/>
          <w:b/>
          <w:sz w:val="24"/>
          <w:szCs w:val="24"/>
          <w:lang w:val="zh-CN"/>
        </w:rPr>
        <w:t>、供应商失信行为</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1.按照江苏省财政厅、江苏省社会信用体系建设领导小组办公室发布《江苏省政府采购信用管理暂行办法》（苏财规[2018]18号）第九条和第二十条相关规定，采购人和采购代理机构记录和认定一般失信行为。</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已响应参加政府采购活动，故意迟到或无故不参加，影响正常开标等采购活动正常进行的情形，属于一般失信行为。本项目已响应的供应商因故不能参加开标活动的，须在响应文件提交截止时间前1个工作日向代理机构提交书面原因并加盖公章，否则代理机构有权报请采购人同意后，将该供应商行为认定为一般失信行为，并在代理机构网站上公示，同时扣除该供应商信用评价分5分/次。</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3.代理机构有权拒绝3个自然年度内信用评价分扣除累计达15分及以上的供应商对本项目的响应。</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4.本项目评审环节中采用综合评分法的，供应商信用评价分每低于初始信用评价分5%，该供应商的综合得分扣1分；采购最低评标价法的，供应商信用评价分每低5%，该供应商的价格给予5%的价格加成。</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5.供应商存在严重失信行为的情形，采购人和代理机构有权向项目所在地区县级以上财政部门报告，情节严重的，采购和代理机构有权拒绝其参加政府采购活动。</w:t>
      </w:r>
    </w:p>
    <w:p>
      <w:pPr>
        <w:snapToGrid w:val="0"/>
        <w:spacing w:line="360" w:lineRule="auto"/>
        <w:ind w:firstLine="496" w:firstLineChars="206"/>
        <w:jc w:val="left"/>
        <w:rPr>
          <w:b/>
          <w:color w:val="000000"/>
          <w:sz w:val="24"/>
        </w:rPr>
      </w:pPr>
      <w:r>
        <w:rPr>
          <w:rFonts w:hint="eastAsia"/>
          <w:b/>
          <w:color w:val="000000"/>
          <w:sz w:val="24"/>
          <w:lang w:eastAsia="zh-CN"/>
        </w:rPr>
        <w:t>九</w:t>
      </w:r>
      <w:r>
        <w:rPr>
          <w:b/>
          <w:color w:val="000000"/>
          <w:sz w:val="24"/>
        </w:rPr>
        <w:t>、未尽事宜</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按《中华人民共和国政府采购法》、《政府采购竞争性磋商采购方式管理暂行办法》及其他有关法律法规的规定执行。</w:t>
      </w:r>
    </w:p>
    <w:p>
      <w:pPr>
        <w:pStyle w:val="2"/>
        <w:rPr>
          <w:rFonts w:hint="eastAsia"/>
        </w:rPr>
      </w:pPr>
    </w:p>
    <w:p>
      <w:pPr>
        <w:pageBreakBefore w:val="0"/>
        <w:widowControl/>
        <w:kinsoku/>
        <w:wordWrap/>
        <w:overflowPunct/>
        <w:topLinePunct w:val="0"/>
        <w:bidi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br w:type="page"/>
      </w:r>
    </w:p>
    <w:p>
      <w:pPr>
        <w:pStyle w:val="5"/>
        <w:pageBreakBefore w:val="0"/>
        <w:kinsoku/>
        <w:wordWrap/>
        <w:overflowPunct/>
        <w:topLinePunct w:val="0"/>
        <w:bidi w:val="0"/>
        <w:spacing w:before="159" w:beforeLines="50" w:after="159" w:afterLines="50" w:line="360" w:lineRule="auto"/>
        <w:jc w:val="center"/>
        <w:textAlignment w:val="auto"/>
        <w:rPr>
          <w:rFonts w:hint="eastAsia" w:ascii="宋体" w:hAnsi="宋体" w:eastAsia="宋体" w:cs="宋体"/>
          <w:sz w:val="36"/>
          <w:szCs w:val="36"/>
        </w:rPr>
      </w:pPr>
      <w:r>
        <w:rPr>
          <w:rFonts w:hint="eastAsia" w:ascii="宋体" w:hAnsi="宋体" w:eastAsia="宋体" w:cs="宋体"/>
          <w:sz w:val="36"/>
          <w:szCs w:val="36"/>
        </w:rPr>
        <w:t>第三部分 项目需求</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color w:val="000000"/>
          <w:sz w:val="24"/>
        </w:rPr>
      </w:pPr>
      <w:r>
        <w:rPr>
          <w:rFonts w:hint="eastAsia" w:ascii="宋体" w:hAnsi="宋体"/>
          <w:b/>
          <w:color w:val="000000"/>
          <w:sz w:val="24"/>
        </w:rPr>
        <w:t>请供应商在制作响应文件时仔细研究项目需求说明</w:t>
      </w:r>
      <w:r>
        <w:rPr>
          <w:rFonts w:hint="eastAsia" w:ascii="宋体" w:hAnsi="宋体"/>
          <w:color w:val="000000"/>
          <w:sz w:val="24"/>
        </w:rPr>
        <w:t>。供应商不能简单照搬照抄采购人项目需求说明中的技术、商务要求，必须作实事求是的响应。如照搬照抄项目需求说明中的技术、商务要求的，中标后供应商在同采购人签订合同和履约环节中不得提出异议，一切后果和损失由成交供应商承担。如供应商提供的货物和服务同采购人提出的项目需求说明中的技术、商务要求不同的，必须在《商务部分正负偏离表》和《技术部分正负偏离表》上明示，如不明示的视同完全响应。</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2" w:firstLineChars="200"/>
        <w:contextualSpacing/>
        <w:jc w:val="left"/>
        <w:textAlignment w:val="auto"/>
        <w:rPr>
          <w:rFonts w:ascii="Times New Roman" w:eastAsia="宋体"/>
          <w:b/>
          <w:color w:val="000000"/>
          <w:sz w:val="24"/>
          <w:szCs w:val="24"/>
        </w:rPr>
      </w:pPr>
      <w:r>
        <w:rPr>
          <w:rFonts w:hint="eastAsia" w:ascii="Times New Roman" w:eastAsia="宋体"/>
          <w:b/>
          <w:color w:val="000000"/>
          <w:sz w:val="24"/>
          <w:szCs w:val="24"/>
        </w:rPr>
        <w:t>一、项目来源和背景</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rPr>
        <w:t>改善市民生活质量，建设宜居城市是现代城市发展目标之一。南通市噪声环境自动监测系统实现了环境噪声昼夜连续自动监测，以自动监测代替手工监测，使监测频率从每年几次提高到实时监测的水平，为环境管理部门实施城市声环境质量考核与噪声污染控制提供实时、全面、准确的声环境质量数据和道路等主要城市交通干道噪声源数据。</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rPr>
        <w:t>南通市噪声自动监测系统由于各站点设备露天运行、环境恶劣、安装地点分散，监测设备一旦出现故障，短时间内不修复排除的话，将直接影响环境管理工作。另外监测设备需定期现场校准，工作专业性要求很高，考虑到人力、物力及时效性和可操作性，为了保证本系统稳定、可靠、安全地运行，迫切需要招纳专门的机构和专业技术人员，对本系统提供运行维护服务保障。</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2" w:firstLineChars="200"/>
        <w:contextualSpacing/>
        <w:jc w:val="left"/>
        <w:textAlignment w:val="auto"/>
        <w:rPr>
          <w:rFonts w:ascii="Times New Roman" w:eastAsia="宋体"/>
          <w:b/>
          <w:color w:val="000000"/>
          <w:sz w:val="24"/>
          <w:szCs w:val="24"/>
        </w:rPr>
      </w:pPr>
      <w:r>
        <w:rPr>
          <w:rFonts w:hint="eastAsia" w:ascii="Times New Roman" w:eastAsia="宋体"/>
          <w:b/>
          <w:color w:val="000000"/>
          <w:sz w:val="24"/>
          <w:szCs w:val="24"/>
        </w:rPr>
        <w:t>二、项目现状</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rPr>
        <w:t>本系统目前包含</w:t>
      </w:r>
      <w:r>
        <w:rPr>
          <w:rFonts w:ascii="Times New Roman" w:eastAsia="宋体"/>
          <w:color w:val="000000"/>
          <w:sz w:val="24"/>
          <w:szCs w:val="24"/>
        </w:rPr>
        <w:t>8个噪声监测子站，分别为</w:t>
      </w:r>
      <w:r>
        <w:rPr>
          <w:rFonts w:hint="eastAsia" w:ascii="Times New Roman" w:eastAsia="宋体"/>
          <w:color w:val="000000"/>
          <w:sz w:val="24"/>
          <w:szCs w:val="24"/>
          <w:lang w:val="en-US" w:eastAsia="zh-CN"/>
        </w:rPr>
        <w:t>洪江路</w:t>
      </w:r>
      <w:r>
        <w:rPr>
          <w:rFonts w:ascii="Times New Roman" w:eastAsia="宋体"/>
          <w:color w:val="000000"/>
          <w:sz w:val="24"/>
          <w:szCs w:val="24"/>
        </w:rPr>
        <w:t>、</w:t>
      </w:r>
      <w:r>
        <w:rPr>
          <w:rFonts w:hint="eastAsia" w:ascii="Times New Roman" w:eastAsia="宋体"/>
          <w:color w:val="000000"/>
          <w:sz w:val="24"/>
          <w:szCs w:val="24"/>
        </w:rPr>
        <w:t>世纪大道</w:t>
      </w:r>
      <w:r>
        <w:rPr>
          <w:rFonts w:ascii="Times New Roman" w:eastAsia="宋体"/>
          <w:color w:val="000000"/>
          <w:sz w:val="24"/>
          <w:szCs w:val="24"/>
        </w:rPr>
        <w:t>、</w:t>
      </w:r>
      <w:r>
        <w:rPr>
          <w:rFonts w:hint="eastAsia" w:ascii="Times New Roman" w:eastAsia="宋体"/>
          <w:color w:val="000000"/>
          <w:sz w:val="24"/>
          <w:szCs w:val="24"/>
        </w:rPr>
        <w:t>崇川开发区</w:t>
      </w:r>
      <w:r>
        <w:rPr>
          <w:rFonts w:ascii="Times New Roman" w:eastAsia="宋体"/>
          <w:color w:val="000000"/>
          <w:sz w:val="24"/>
          <w:szCs w:val="24"/>
        </w:rPr>
        <w:t>、</w:t>
      </w:r>
      <w:r>
        <w:rPr>
          <w:rFonts w:hint="eastAsia" w:ascii="Times New Roman" w:eastAsia="宋体"/>
          <w:color w:val="000000"/>
          <w:sz w:val="24"/>
          <w:szCs w:val="24"/>
        </w:rPr>
        <w:t>开发区化工园区</w:t>
      </w:r>
      <w:r>
        <w:rPr>
          <w:rFonts w:ascii="Times New Roman" w:eastAsia="宋体"/>
          <w:color w:val="000000"/>
          <w:sz w:val="24"/>
          <w:szCs w:val="24"/>
        </w:rPr>
        <w:t>、唐闸公园、濠河风景区、</w:t>
      </w:r>
      <w:r>
        <w:rPr>
          <w:rFonts w:hint="eastAsia" w:ascii="Times New Roman" w:eastAsia="宋体"/>
          <w:color w:val="000000"/>
          <w:sz w:val="24"/>
          <w:szCs w:val="24"/>
        </w:rPr>
        <w:t>啬园</w:t>
      </w:r>
      <w:r>
        <w:rPr>
          <w:rFonts w:ascii="Times New Roman" w:eastAsia="宋体"/>
          <w:color w:val="000000"/>
          <w:sz w:val="24"/>
          <w:szCs w:val="24"/>
        </w:rPr>
        <w:t>、</w:t>
      </w:r>
      <w:r>
        <w:rPr>
          <w:rFonts w:hint="eastAsia" w:ascii="Times New Roman" w:eastAsia="宋体"/>
          <w:color w:val="000000"/>
          <w:sz w:val="24"/>
          <w:szCs w:val="24"/>
        </w:rPr>
        <w:t>新城小区。</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2" w:firstLineChars="200"/>
        <w:contextualSpacing/>
        <w:jc w:val="left"/>
        <w:textAlignment w:val="auto"/>
        <w:rPr>
          <w:rFonts w:ascii="Times New Roman" w:eastAsia="宋体"/>
          <w:b/>
          <w:color w:val="000000"/>
          <w:sz w:val="24"/>
          <w:szCs w:val="24"/>
        </w:rPr>
      </w:pPr>
      <w:r>
        <w:rPr>
          <w:rFonts w:hint="eastAsia" w:ascii="Times New Roman" w:eastAsia="宋体"/>
          <w:b/>
          <w:color w:val="000000"/>
          <w:sz w:val="24"/>
          <w:szCs w:val="24"/>
        </w:rPr>
        <w:t>三、基本情况</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rPr>
        <w:t>噪声监测终端是一个全功能组件，所有组件集成在一个机箱内，主要包括噪声分析仪、工控机、C网路由器、功控设备、UPS及各种电缆；另外带有风罩的传声器安装在机箱外。</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highlight w:val="none"/>
        </w:rPr>
      </w:pPr>
      <w:r>
        <w:rPr>
          <w:rFonts w:hint="eastAsia" w:ascii="Times New Roman" w:eastAsia="宋体"/>
          <w:color w:val="000000"/>
          <w:sz w:val="24"/>
          <w:szCs w:val="24"/>
        </w:rPr>
        <w:t>1</w:t>
      </w:r>
      <w:r>
        <w:rPr>
          <w:rFonts w:ascii="Times New Roman" w:eastAsia="宋体"/>
          <w:color w:val="000000"/>
          <w:sz w:val="24"/>
          <w:szCs w:val="24"/>
        </w:rPr>
        <w:t>.</w:t>
      </w:r>
      <w:r>
        <w:rPr>
          <w:rFonts w:hint="eastAsia" w:ascii="Times New Roman" w:eastAsia="宋体"/>
          <w:color w:val="000000"/>
          <w:sz w:val="24"/>
          <w:szCs w:val="24"/>
        </w:rPr>
        <w:t>设备信息：</w:t>
      </w:r>
      <w:r>
        <w:rPr>
          <w:rFonts w:ascii="Times New Roman" w:eastAsia="宋体"/>
          <w:color w:val="000000"/>
          <w:sz w:val="24"/>
          <w:szCs w:val="24"/>
        </w:rPr>
        <w:t>NGL ENS-DL</w:t>
      </w:r>
      <w:r>
        <w:rPr>
          <w:rFonts w:hint="eastAsia" w:ascii="Times New Roman" w:eastAsia="宋体"/>
          <w:color w:val="000000"/>
          <w:sz w:val="24"/>
          <w:szCs w:val="24"/>
        </w:rPr>
        <w:t>噪声监测终端，</w:t>
      </w:r>
      <w:r>
        <w:rPr>
          <w:rFonts w:ascii="Times New Roman" w:eastAsia="宋体"/>
          <w:color w:val="000000"/>
          <w:sz w:val="24"/>
          <w:szCs w:val="24"/>
        </w:rPr>
        <w:t>8</w:t>
      </w:r>
      <w:r>
        <w:rPr>
          <w:rFonts w:hint="eastAsia" w:ascii="Times New Roman" w:eastAsia="宋体"/>
          <w:color w:val="000000"/>
          <w:sz w:val="24"/>
          <w:szCs w:val="24"/>
        </w:rPr>
        <w:t>套，</w:t>
      </w:r>
      <w:r>
        <w:rPr>
          <w:rFonts w:hint="eastAsia" w:ascii="Times New Roman" w:eastAsia="宋体"/>
          <w:color w:val="000000"/>
          <w:sz w:val="24"/>
          <w:szCs w:val="24"/>
          <w:highlight w:val="none"/>
        </w:rPr>
        <w:t>珠海高凌信息科技有限公司。</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rPr>
        <w:t>2</w:t>
      </w:r>
      <w:r>
        <w:rPr>
          <w:rFonts w:ascii="Times New Roman" w:eastAsia="宋体"/>
          <w:color w:val="000000"/>
          <w:sz w:val="24"/>
          <w:szCs w:val="24"/>
        </w:rPr>
        <w:t>.</w:t>
      </w:r>
      <w:r>
        <w:rPr>
          <w:rFonts w:hint="eastAsia" w:ascii="Times New Roman" w:eastAsia="宋体"/>
          <w:color w:val="000000"/>
          <w:sz w:val="24"/>
          <w:szCs w:val="24"/>
        </w:rPr>
        <w:t>数据传输网络：CDMA。</w:t>
      </w:r>
      <w:r>
        <w:rPr>
          <w:rFonts w:ascii="Times New Roman" w:eastAsia="宋体"/>
          <w:color w:val="000000"/>
          <w:sz w:val="24"/>
          <w:szCs w:val="24"/>
        </w:rPr>
        <w:t xml:space="preserve"> </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2" w:firstLineChars="200"/>
        <w:contextualSpacing/>
        <w:jc w:val="left"/>
        <w:textAlignment w:val="auto"/>
        <w:rPr>
          <w:rFonts w:ascii="Times New Roman" w:eastAsia="宋体"/>
          <w:b/>
          <w:color w:val="000000"/>
          <w:sz w:val="24"/>
          <w:szCs w:val="24"/>
        </w:rPr>
      </w:pPr>
      <w:r>
        <w:rPr>
          <w:rFonts w:hint="eastAsia" w:ascii="Times New Roman" w:eastAsia="宋体"/>
          <w:b/>
          <w:color w:val="000000"/>
          <w:sz w:val="24"/>
          <w:szCs w:val="24"/>
        </w:rPr>
        <w:t>四、系统维护管理方针与目标</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bookmarkStart w:id="7" w:name="_Toc194883205"/>
      <w:r>
        <w:rPr>
          <w:rFonts w:hint="eastAsia" w:ascii="Times New Roman" w:eastAsia="宋体"/>
          <w:color w:val="000000"/>
          <w:sz w:val="24"/>
          <w:szCs w:val="24"/>
        </w:rPr>
        <w:t>1</w:t>
      </w:r>
      <w:r>
        <w:rPr>
          <w:rFonts w:ascii="Times New Roman" w:eastAsia="宋体"/>
          <w:color w:val="000000"/>
          <w:sz w:val="24"/>
          <w:szCs w:val="24"/>
        </w:rPr>
        <w:t>.</w:t>
      </w:r>
      <w:r>
        <w:rPr>
          <w:rFonts w:hint="eastAsia" w:ascii="Times New Roman" w:eastAsia="宋体"/>
          <w:color w:val="000000"/>
          <w:sz w:val="24"/>
          <w:szCs w:val="24"/>
        </w:rPr>
        <w:t>运行维护管理方针</w:t>
      </w:r>
      <w:bookmarkEnd w:id="7"/>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rPr>
        <w:t>运行规范、反应及时、数据准确、管理有效。</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bookmarkStart w:id="8" w:name="_Toc194883206"/>
      <w:r>
        <w:rPr>
          <w:rFonts w:hint="eastAsia" w:ascii="Times New Roman" w:eastAsia="宋体"/>
          <w:color w:val="000000"/>
          <w:sz w:val="24"/>
          <w:szCs w:val="24"/>
        </w:rPr>
        <w:t>2</w:t>
      </w:r>
      <w:r>
        <w:rPr>
          <w:rFonts w:ascii="Times New Roman" w:eastAsia="宋体"/>
          <w:color w:val="000000"/>
          <w:sz w:val="24"/>
          <w:szCs w:val="24"/>
        </w:rPr>
        <w:t>.</w:t>
      </w:r>
      <w:r>
        <w:rPr>
          <w:rFonts w:hint="eastAsia" w:ascii="Times New Roman" w:eastAsia="宋体"/>
          <w:color w:val="000000"/>
          <w:sz w:val="24"/>
          <w:szCs w:val="24"/>
        </w:rPr>
        <w:t>运行维护管理目标</w:t>
      </w:r>
      <w:bookmarkEnd w:id="8"/>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rPr>
        <w:t>全面贯彻质量方针、建立符合国家标准的且适合于中心监管—公司运行模式下的质量管理体系，提供及时、准确、有效的监测数据，不断提高噪声自动监测站的运行质量，并达到以下指标：</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Times New Roman" w:eastAsia="宋体"/>
          <w:color w:val="000000"/>
          <w:sz w:val="24"/>
          <w:szCs w:val="24"/>
          <w:lang w:eastAsia="zh-CN"/>
        </w:rPr>
      </w:pPr>
      <w:r>
        <w:rPr>
          <w:rFonts w:hint="eastAsia" w:ascii="Times New Roman" w:eastAsia="宋体"/>
          <w:color w:val="000000"/>
          <w:sz w:val="24"/>
          <w:szCs w:val="24"/>
        </w:rPr>
        <w:t>每个监测终端系统正常运行率达到95%</w:t>
      </w:r>
      <w:r>
        <w:rPr>
          <w:rFonts w:hint="eastAsia" w:ascii="Times New Roman" w:eastAsia="宋体"/>
          <w:color w:val="000000"/>
          <w:sz w:val="24"/>
          <w:szCs w:val="24"/>
          <w:lang w:eastAsia="zh-CN"/>
        </w:rPr>
        <w:t>，</w:t>
      </w:r>
      <w:r>
        <w:rPr>
          <w:rFonts w:hint="eastAsia" w:ascii="Times New Roman" w:eastAsia="宋体"/>
          <w:color w:val="000000"/>
          <w:sz w:val="24"/>
          <w:szCs w:val="24"/>
        </w:rPr>
        <w:t>数据捕获率达到95%</w:t>
      </w:r>
      <w:r>
        <w:rPr>
          <w:rFonts w:hint="eastAsia" w:ascii="Times New Roman" w:eastAsia="宋体"/>
          <w:color w:val="000000"/>
          <w:sz w:val="24"/>
          <w:szCs w:val="24"/>
          <w:lang w:eastAsia="zh-CN"/>
        </w:rPr>
        <w:t>；</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rPr>
        <w:t>每个监测终端现场校准合格率不低于 95%，比对不低于 90%；</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rPr>
        <w:t>异常情况处理率100%。</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auto"/>
          <w:sz w:val="24"/>
          <w:szCs w:val="24"/>
        </w:rPr>
      </w:pPr>
      <w:r>
        <w:rPr>
          <w:rFonts w:hint="eastAsia" w:ascii="Times New Roman" w:eastAsia="宋体"/>
          <w:color w:val="auto"/>
          <w:sz w:val="24"/>
          <w:szCs w:val="24"/>
        </w:rPr>
        <w:t>平均故障响应时间不超过 6 小时，一般仪器排除时间不超过24小时，如无法远程解决，则48小时内到达现场检查故障，72小时内解决故障。</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2" w:firstLineChars="200"/>
        <w:contextualSpacing/>
        <w:jc w:val="left"/>
        <w:textAlignment w:val="auto"/>
        <w:rPr>
          <w:rFonts w:ascii="Times New Roman" w:eastAsia="宋体"/>
          <w:b/>
          <w:color w:val="000000"/>
          <w:sz w:val="24"/>
          <w:szCs w:val="24"/>
        </w:rPr>
      </w:pPr>
      <w:r>
        <w:rPr>
          <w:rFonts w:hint="eastAsia" w:ascii="Times New Roman" w:eastAsia="宋体"/>
          <w:b/>
          <w:color w:val="000000"/>
          <w:sz w:val="24"/>
          <w:szCs w:val="24"/>
        </w:rPr>
        <w:t>五、</w:t>
      </w:r>
      <w:r>
        <w:rPr>
          <w:rFonts w:hint="eastAsia" w:ascii="Times New Roman" w:eastAsia="宋体"/>
          <w:b/>
          <w:color w:val="000000"/>
          <w:sz w:val="24"/>
          <w:szCs w:val="24"/>
          <w:lang w:val="en-US" w:eastAsia="zh-CN"/>
        </w:rPr>
        <w:t>预算金额、</w:t>
      </w:r>
      <w:r>
        <w:rPr>
          <w:rFonts w:hint="eastAsia" w:ascii="Times New Roman" w:eastAsia="宋体"/>
          <w:b/>
          <w:color w:val="000000"/>
          <w:sz w:val="24"/>
          <w:szCs w:val="24"/>
        </w:rPr>
        <w:t>服务期限及总体需求</w:t>
      </w:r>
      <w:bookmarkStart w:id="30" w:name="_GoBack"/>
      <w:bookmarkEnd w:id="30"/>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hint="default" w:ascii="Times New Roman" w:eastAsia="宋体"/>
          <w:color w:val="000000"/>
          <w:sz w:val="24"/>
          <w:szCs w:val="24"/>
          <w:lang w:val="en-US" w:eastAsia="zh-CN"/>
        </w:rPr>
      </w:pPr>
      <w:r>
        <w:rPr>
          <w:rFonts w:hint="eastAsia" w:ascii="Times New Roman" w:eastAsia="宋体"/>
          <w:color w:val="000000"/>
          <w:sz w:val="24"/>
          <w:szCs w:val="24"/>
        </w:rPr>
        <w:t>1、</w:t>
      </w:r>
      <w:r>
        <w:rPr>
          <w:rFonts w:hint="eastAsia" w:ascii="Times New Roman" w:eastAsia="宋体"/>
          <w:color w:val="000000"/>
          <w:sz w:val="24"/>
          <w:szCs w:val="24"/>
          <w:lang w:val="en-US" w:eastAsia="zh-CN"/>
        </w:rPr>
        <w:t>预算金额：18万元/年</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Times New Roman" w:eastAsia="宋体"/>
          <w:color w:val="000000"/>
          <w:sz w:val="24"/>
          <w:szCs w:val="24"/>
        </w:rPr>
      </w:pPr>
      <w:r>
        <w:rPr>
          <w:rFonts w:hint="eastAsia" w:ascii="Times New Roman" w:eastAsia="宋体"/>
          <w:color w:val="000000"/>
          <w:sz w:val="24"/>
          <w:szCs w:val="24"/>
        </w:rPr>
        <w:t>2、本次采购的运行维护服务期限：</w:t>
      </w:r>
      <w:r>
        <w:rPr>
          <w:rFonts w:hint="eastAsia" w:ascii="Times New Roman" w:eastAsia="宋体"/>
          <w:color w:val="000000"/>
          <w:sz w:val="24"/>
          <w:szCs w:val="24"/>
          <w:lang w:val="en-US" w:eastAsia="zh-CN"/>
        </w:rPr>
        <w:t>3</w:t>
      </w:r>
      <w:r>
        <w:rPr>
          <w:rFonts w:hint="eastAsia" w:ascii="Times New Roman" w:eastAsia="宋体"/>
          <w:color w:val="000000"/>
          <w:sz w:val="24"/>
          <w:szCs w:val="24"/>
        </w:rPr>
        <w:t>年，合同一年一签，上一年度考核合</w:t>
      </w:r>
      <w:r>
        <w:rPr>
          <w:rFonts w:hint="eastAsia" w:ascii="Times New Roman" w:eastAsia="宋体"/>
          <w:color w:val="000000"/>
          <w:sz w:val="24"/>
          <w:szCs w:val="24"/>
          <w:lang w:val="en-US" w:eastAsia="zh-CN"/>
        </w:rPr>
        <w:t>格</w:t>
      </w:r>
      <w:r>
        <w:rPr>
          <w:rFonts w:hint="eastAsia" w:ascii="Times New Roman" w:eastAsia="宋体"/>
          <w:color w:val="000000"/>
          <w:sz w:val="24"/>
          <w:szCs w:val="24"/>
        </w:rPr>
        <w:t>续签下一年合同。运行维护服务的起始日在后续的采购合同中另行约定。</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highlight w:val="yellow"/>
        </w:rPr>
      </w:pPr>
      <w:r>
        <w:rPr>
          <w:rFonts w:hint="eastAsia" w:ascii="Times New Roman" w:eastAsia="宋体"/>
          <w:color w:val="000000"/>
          <w:sz w:val="24"/>
          <w:szCs w:val="24"/>
        </w:rPr>
        <w:t>3</w:t>
      </w:r>
      <w:r>
        <w:rPr>
          <w:rFonts w:ascii="Times New Roman" w:eastAsia="宋体"/>
          <w:color w:val="000000"/>
          <w:sz w:val="24"/>
          <w:szCs w:val="24"/>
        </w:rPr>
        <w:t>、</w:t>
      </w:r>
      <w:r>
        <w:rPr>
          <w:rFonts w:hint="eastAsia" w:ascii="Times New Roman" w:eastAsia="宋体"/>
          <w:color w:val="000000"/>
          <w:sz w:val="24"/>
          <w:szCs w:val="24"/>
        </w:rPr>
        <w:t>成交供应商</w:t>
      </w:r>
      <w:r>
        <w:rPr>
          <w:rFonts w:ascii="Times New Roman" w:eastAsia="宋体"/>
          <w:color w:val="000000"/>
          <w:sz w:val="24"/>
          <w:szCs w:val="24"/>
        </w:rPr>
        <w:t>需承担运行维护中发生的全部费用（含无线通讯费</w:t>
      </w:r>
      <w:r>
        <w:rPr>
          <w:rFonts w:hint="eastAsia" w:ascii="Times New Roman" w:eastAsia="宋体"/>
          <w:color w:val="000000"/>
          <w:sz w:val="24"/>
          <w:szCs w:val="24"/>
        </w:rPr>
        <w:t>、</w:t>
      </w:r>
      <w:r>
        <w:rPr>
          <w:rFonts w:ascii="Times New Roman" w:eastAsia="宋体"/>
          <w:color w:val="000000"/>
          <w:sz w:val="24"/>
          <w:szCs w:val="24"/>
        </w:rPr>
        <w:t>房租、电费</w:t>
      </w:r>
      <w:r>
        <w:rPr>
          <w:rFonts w:hint="eastAsia" w:ascii="Times New Roman" w:eastAsia="宋体"/>
          <w:color w:val="000000"/>
          <w:sz w:val="24"/>
          <w:szCs w:val="24"/>
        </w:rPr>
        <w:t>等</w:t>
      </w:r>
      <w:r>
        <w:rPr>
          <w:rFonts w:ascii="Times New Roman" w:eastAsia="宋体"/>
          <w:color w:val="000000"/>
          <w:sz w:val="24"/>
          <w:szCs w:val="24"/>
        </w:rPr>
        <w:t>），所用维修维护器件、备品和配件等需为原仪器设备厂家生产或进口同类产品，</w:t>
      </w:r>
      <w:r>
        <w:rPr>
          <w:rFonts w:ascii="Times New Roman" w:eastAsia="宋体"/>
          <w:color w:val="auto"/>
          <w:sz w:val="24"/>
          <w:szCs w:val="24"/>
          <w:highlight w:val="none"/>
        </w:rPr>
        <w:t>同时承担每年一次的声级计计量检定费用（需送至江苏省内合格计量检定单位，并提供有效的检定证书）。</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lang w:val="en-US" w:eastAsia="zh-CN"/>
        </w:rPr>
        <w:t>4</w:t>
      </w:r>
      <w:r>
        <w:rPr>
          <w:rFonts w:ascii="Times New Roman" w:eastAsia="宋体"/>
          <w:color w:val="000000"/>
          <w:sz w:val="24"/>
          <w:szCs w:val="24"/>
        </w:rPr>
        <w:t>、</w:t>
      </w:r>
      <w:r>
        <w:rPr>
          <w:rFonts w:hint="eastAsia" w:ascii="Times New Roman" w:eastAsia="宋体"/>
          <w:color w:val="000000"/>
          <w:sz w:val="24"/>
          <w:szCs w:val="24"/>
        </w:rPr>
        <w:t>成交供应商</w:t>
      </w:r>
      <w:r>
        <w:rPr>
          <w:rFonts w:ascii="Times New Roman" w:eastAsia="宋体"/>
          <w:color w:val="000000"/>
          <w:sz w:val="24"/>
          <w:szCs w:val="24"/>
        </w:rPr>
        <w:t>需保证至少2名合格技术人员从事南通市噪声自动监测系统及显示屏系统的日常运行和维护，法定节假日期间若设备出现故障也能到现场进行检修，保证系统的正常运行</w:t>
      </w:r>
      <w:r>
        <w:rPr>
          <w:rFonts w:hint="eastAsia" w:ascii="Times New Roman" w:eastAsia="宋体"/>
          <w:color w:val="000000"/>
          <w:sz w:val="24"/>
          <w:szCs w:val="24"/>
        </w:rPr>
        <w:t>，同时确保安排至少1辆专车用于日常巡检（成交供应商签订合同前需提供承诺书原件，否则采购人可根据排名依次确定其他供应商为成交人）</w:t>
      </w:r>
      <w:r>
        <w:rPr>
          <w:rFonts w:ascii="Times New Roman" w:eastAsia="宋体"/>
          <w:color w:val="000000"/>
          <w:sz w:val="24"/>
          <w:szCs w:val="24"/>
        </w:rPr>
        <w:t>。</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auto"/>
          <w:sz w:val="24"/>
          <w:szCs w:val="24"/>
        </w:rPr>
      </w:pPr>
      <w:r>
        <w:rPr>
          <w:rFonts w:hint="eastAsia" w:ascii="Times New Roman" w:eastAsia="宋体"/>
          <w:color w:val="auto"/>
          <w:sz w:val="24"/>
          <w:szCs w:val="24"/>
          <w:lang w:val="en-US" w:eastAsia="zh-CN"/>
        </w:rPr>
        <w:t>5</w:t>
      </w:r>
      <w:r>
        <w:rPr>
          <w:rFonts w:hint="eastAsia" w:ascii="Times New Roman" w:eastAsia="宋体"/>
          <w:color w:val="auto"/>
          <w:sz w:val="24"/>
          <w:szCs w:val="24"/>
        </w:rPr>
        <w:t>、成交供应商</w:t>
      </w:r>
      <w:r>
        <w:rPr>
          <w:rFonts w:ascii="Times New Roman" w:eastAsia="宋体"/>
          <w:color w:val="auto"/>
          <w:sz w:val="24"/>
          <w:szCs w:val="24"/>
        </w:rPr>
        <w:t>需在接到</w:t>
      </w:r>
      <w:r>
        <w:rPr>
          <w:rFonts w:hint="eastAsia" w:ascii="Times New Roman" w:eastAsia="宋体"/>
          <w:color w:val="auto"/>
          <w:sz w:val="24"/>
          <w:szCs w:val="24"/>
        </w:rPr>
        <w:t>采购人</w:t>
      </w:r>
      <w:r>
        <w:rPr>
          <w:rFonts w:ascii="Times New Roman" w:eastAsia="宋体"/>
          <w:color w:val="auto"/>
          <w:sz w:val="24"/>
          <w:szCs w:val="24"/>
        </w:rPr>
        <w:t>电话通知</w:t>
      </w:r>
      <w:r>
        <w:rPr>
          <w:rFonts w:hint="eastAsia" w:ascii="Times New Roman" w:eastAsia="宋体"/>
          <w:color w:val="auto"/>
          <w:sz w:val="24"/>
          <w:szCs w:val="24"/>
        </w:rPr>
        <w:t>后</w:t>
      </w:r>
      <w:r>
        <w:rPr>
          <w:rFonts w:ascii="Times New Roman" w:eastAsia="宋体"/>
          <w:color w:val="auto"/>
          <w:sz w:val="24"/>
          <w:szCs w:val="24"/>
        </w:rPr>
        <w:t>1小时内做出响应，12小时内派技术人员到达维修现场，24小时内解决故障。</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lang w:val="en-US" w:eastAsia="zh-CN"/>
        </w:rPr>
        <w:t>6、</w:t>
      </w:r>
      <w:r>
        <w:rPr>
          <w:rFonts w:hint="eastAsia" w:ascii="Times New Roman" w:eastAsia="宋体"/>
          <w:color w:val="000000"/>
          <w:sz w:val="24"/>
          <w:szCs w:val="24"/>
        </w:rPr>
        <w:t>相关监测数据必须按相关要求实时接入市级数据平台并可正常使用，实现一点多发，多址传送。</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2" w:firstLineChars="200"/>
        <w:contextualSpacing/>
        <w:jc w:val="left"/>
        <w:textAlignment w:val="auto"/>
        <w:rPr>
          <w:rFonts w:ascii="Times New Roman" w:eastAsia="宋体"/>
          <w:b/>
          <w:color w:val="000000"/>
          <w:sz w:val="24"/>
          <w:szCs w:val="24"/>
        </w:rPr>
      </w:pPr>
      <w:r>
        <w:rPr>
          <w:rFonts w:hint="eastAsia" w:ascii="Times New Roman" w:eastAsia="宋体"/>
          <w:b/>
          <w:color w:val="000000"/>
          <w:sz w:val="24"/>
          <w:szCs w:val="24"/>
        </w:rPr>
        <w:t>六、</w:t>
      </w:r>
      <w:r>
        <w:rPr>
          <w:rFonts w:ascii="Times New Roman" w:eastAsia="宋体"/>
          <w:b/>
          <w:color w:val="000000"/>
          <w:sz w:val="24"/>
          <w:szCs w:val="24"/>
        </w:rPr>
        <w:t>运维要求</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rPr>
        <w:t>供应商</w:t>
      </w:r>
      <w:r>
        <w:rPr>
          <w:rFonts w:ascii="Times New Roman" w:eastAsia="宋体"/>
          <w:color w:val="000000"/>
          <w:sz w:val="24"/>
          <w:szCs w:val="24"/>
        </w:rPr>
        <w:t>必须根据本部分要求作出相应应答，明确维护方法、周期、内容及技术保障等。</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ascii="Times New Roman" w:eastAsia="宋体"/>
          <w:color w:val="000000"/>
          <w:sz w:val="24"/>
          <w:szCs w:val="24"/>
        </w:rPr>
        <w:t>1、更换配件要求</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rPr>
        <w:t>成交供应商</w:t>
      </w:r>
      <w:r>
        <w:rPr>
          <w:rFonts w:ascii="Times New Roman" w:eastAsia="宋体"/>
          <w:color w:val="000000"/>
          <w:sz w:val="24"/>
          <w:szCs w:val="24"/>
        </w:rPr>
        <w:t>承担运行维护管理中所用全部器件、备品、耗材、配件、无线通讯</w:t>
      </w:r>
      <w:r>
        <w:rPr>
          <w:rFonts w:hint="eastAsia" w:ascii="Times New Roman" w:eastAsia="宋体"/>
          <w:color w:val="000000"/>
          <w:sz w:val="24"/>
          <w:szCs w:val="24"/>
        </w:rPr>
        <w:t>、应急监测服务、人工、交通、包装、运输、装卸、仓储、保险、各种税费等</w:t>
      </w:r>
      <w:r>
        <w:rPr>
          <w:rFonts w:ascii="Times New Roman" w:eastAsia="宋体"/>
          <w:color w:val="000000"/>
          <w:sz w:val="24"/>
          <w:szCs w:val="24"/>
        </w:rPr>
        <w:t>费用，如需更换零配件，国内供货不超过5天（自然日），国外订货不超过30天（自然日）。</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ascii="Times New Roman" w:eastAsia="宋体"/>
          <w:color w:val="000000"/>
          <w:sz w:val="24"/>
          <w:szCs w:val="24"/>
        </w:rPr>
        <w:t>2、软件服务要求</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ascii="Times New Roman" w:eastAsia="宋体"/>
          <w:color w:val="000000"/>
          <w:sz w:val="24"/>
          <w:szCs w:val="24"/>
        </w:rPr>
        <w:t>供应商对</w:t>
      </w:r>
      <w:r>
        <w:rPr>
          <w:rFonts w:hint="eastAsia" w:ascii="Times New Roman" w:eastAsia="宋体"/>
          <w:color w:val="000000"/>
          <w:sz w:val="24"/>
          <w:szCs w:val="24"/>
        </w:rPr>
        <w:t>采购人</w:t>
      </w:r>
      <w:r>
        <w:rPr>
          <w:rFonts w:ascii="Times New Roman" w:eastAsia="宋体"/>
          <w:color w:val="000000"/>
          <w:sz w:val="24"/>
          <w:szCs w:val="24"/>
        </w:rPr>
        <w:t>在使用“NGL04 ENS环境噪声自动监测系统软件”及“LED信息系统发布软件”存在的软件BUG进行免费</w:t>
      </w:r>
      <w:r>
        <w:rPr>
          <w:rFonts w:hint="eastAsia" w:ascii="Times New Roman" w:eastAsia="宋体"/>
          <w:color w:val="000000"/>
          <w:sz w:val="24"/>
          <w:szCs w:val="24"/>
        </w:rPr>
        <w:t>更新或</w:t>
      </w:r>
      <w:r>
        <w:rPr>
          <w:rFonts w:ascii="Times New Roman" w:eastAsia="宋体"/>
          <w:color w:val="000000"/>
          <w:sz w:val="24"/>
          <w:szCs w:val="24"/>
        </w:rPr>
        <w:t>升级，确保系统正常运行。软件补丁服务主要为预防性和修复性补丁服务。</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ascii="Times New Roman" w:eastAsia="宋体"/>
          <w:color w:val="000000"/>
          <w:sz w:val="24"/>
          <w:szCs w:val="24"/>
        </w:rPr>
        <w:t>3、现场技术支持要求</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ascii="Times New Roman" w:eastAsia="宋体"/>
          <w:color w:val="000000"/>
          <w:sz w:val="24"/>
          <w:szCs w:val="24"/>
        </w:rPr>
        <w:t>3.1 在设备出现故障通过远程技术支持不能解决的情况下，供应商保证在接到采购</w:t>
      </w:r>
      <w:r>
        <w:rPr>
          <w:rFonts w:hint="eastAsia" w:ascii="Times New Roman" w:eastAsia="宋体"/>
          <w:color w:val="000000"/>
          <w:sz w:val="24"/>
          <w:szCs w:val="24"/>
          <w:lang w:val="en-US" w:eastAsia="zh-CN"/>
        </w:rPr>
        <w:t>人</w:t>
      </w:r>
      <w:r>
        <w:rPr>
          <w:rFonts w:ascii="Times New Roman" w:eastAsia="宋体"/>
          <w:color w:val="000000"/>
          <w:sz w:val="24"/>
          <w:szCs w:val="24"/>
        </w:rPr>
        <w:t>电话通知的1小时内做出响应，12小时之内派技术人员到达维修现场，24小时内解决故障。</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ascii="Times New Roman" w:eastAsia="宋体"/>
          <w:color w:val="000000"/>
          <w:sz w:val="24"/>
          <w:szCs w:val="24"/>
        </w:rPr>
        <w:t>3.2 供应商服务工程师抵达</w:t>
      </w:r>
      <w:r>
        <w:rPr>
          <w:rFonts w:hint="eastAsia" w:ascii="Times New Roman" w:eastAsia="宋体"/>
          <w:color w:val="000000"/>
          <w:sz w:val="24"/>
          <w:szCs w:val="24"/>
        </w:rPr>
        <w:t>故障</w:t>
      </w:r>
      <w:r>
        <w:rPr>
          <w:rFonts w:ascii="Times New Roman" w:eastAsia="宋体"/>
          <w:color w:val="000000"/>
          <w:sz w:val="24"/>
          <w:szCs w:val="24"/>
        </w:rPr>
        <w:t>现场，了解故障情况，与</w:t>
      </w:r>
      <w:r>
        <w:rPr>
          <w:rFonts w:hint="eastAsia" w:ascii="Times New Roman" w:eastAsia="宋体"/>
          <w:color w:val="000000"/>
          <w:sz w:val="24"/>
          <w:szCs w:val="24"/>
        </w:rPr>
        <w:t>采购</w:t>
      </w:r>
      <w:r>
        <w:rPr>
          <w:rFonts w:hint="eastAsia" w:ascii="Times New Roman" w:eastAsia="宋体"/>
          <w:color w:val="000000"/>
          <w:sz w:val="24"/>
          <w:szCs w:val="24"/>
          <w:lang w:val="en-US" w:eastAsia="zh-CN"/>
        </w:rPr>
        <w:t>人</w:t>
      </w:r>
      <w:r>
        <w:rPr>
          <w:rFonts w:ascii="Times New Roman" w:eastAsia="宋体"/>
          <w:color w:val="000000"/>
          <w:sz w:val="24"/>
          <w:szCs w:val="24"/>
        </w:rPr>
        <w:t>现场负责人取得联系</w:t>
      </w:r>
      <w:r>
        <w:rPr>
          <w:rFonts w:hint="eastAsia" w:ascii="Times New Roman" w:eastAsia="宋体"/>
          <w:color w:val="000000"/>
          <w:sz w:val="24"/>
          <w:szCs w:val="24"/>
        </w:rPr>
        <w:t>，</w:t>
      </w:r>
      <w:r>
        <w:rPr>
          <w:rFonts w:ascii="Times New Roman" w:eastAsia="宋体"/>
          <w:color w:val="000000"/>
          <w:sz w:val="24"/>
          <w:szCs w:val="24"/>
        </w:rPr>
        <w:t>制定故障解决技术方案后并经</w:t>
      </w:r>
      <w:r>
        <w:rPr>
          <w:rFonts w:hint="eastAsia" w:ascii="Times New Roman" w:eastAsia="宋体"/>
          <w:color w:val="000000"/>
          <w:sz w:val="24"/>
          <w:szCs w:val="24"/>
          <w:lang w:eastAsia="zh-CN"/>
        </w:rPr>
        <w:t>采购人</w:t>
      </w:r>
      <w:r>
        <w:rPr>
          <w:rFonts w:ascii="Times New Roman" w:eastAsia="宋体"/>
          <w:color w:val="000000"/>
          <w:sz w:val="24"/>
          <w:szCs w:val="24"/>
        </w:rPr>
        <w:t>批准后实施。对于硬件故障，供应商全面负责维修、更换工作，硬件更换周期可确保在出现问题的2天内使用备品备件替换到位，在此期间，供应商提供备品备件以满足系统正常运行的要求；</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ascii="Times New Roman" w:eastAsia="宋体"/>
          <w:color w:val="000000"/>
          <w:sz w:val="24"/>
          <w:szCs w:val="24"/>
        </w:rPr>
        <w:t>3.3 现场故障处理服务完成后，供应商技术人员要向</w:t>
      </w:r>
      <w:r>
        <w:rPr>
          <w:rFonts w:hint="eastAsia" w:ascii="Times New Roman" w:eastAsia="宋体"/>
          <w:color w:val="000000"/>
          <w:sz w:val="24"/>
          <w:szCs w:val="24"/>
          <w:lang w:eastAsia="zh-CN"/>
        </w:rPr>
        <w:t>采购人</w:t>
      </w:r>
      <w:r>
        <w:rPr>
          <w:rFonts w:ascii="Times New Roman" w:eastAsia="宋体"/>
          <w:color w:val="000000"/>
          <w:sz w:val="24"/>
          <w:szCs w:val="24"/>
        </w:rPr>
        <w:t>提交现场技术服务报告，</w:t>
      </w:r>
      <w:r>
        <w:rPr>
          <w:rFonts w:hint="eastAsia" w:ascii="Times New Roman" w:eastAsia="宋体"/>
          <w:color w:val="000000"/>
          <w:sz w:val="24"/>
          <w:szCs w:val="24"/>
          <w:lang w:eastAsia="zh-CN"/>
        </w:rPr>
        <w:t>采购人</w:t>
      </w:r>
      <w:r>
        <w:rPr>
          <w:rFonts w:ascii="Times New Roman" w:eastAsia="宋体"/>
          <w:color w:val="000000"/>
          <w:sz w:val="24"/>
          <w:szCs w:val="24"/>
        </w:rPr>
        <w:t>对现场技术服务报告签字确认，双方各自存档。到达现场及时率应达到100％，问题解决率应达到100% 。</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ascii="Times New Roman" w:eastAsia="宋体"/>
          <w:color w:val="000000"/>
          <w:sz w:val="24"/>
          <w:szCs w:val="24"/>
        </w:rPr>
        <w:t>3.4 故障应一次性解决彻底，同一子站，同一故障现象不能在1个月内重复出现。对于个别需要观察的故障应及时向客户通报，双方协商制订解决方案，明确观察和解决故障的截止时间。</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Times New Roman" w:eastAsia="宋体"/>
          <w:color w:val="000000"/>
          <w:sz w:val="24"/>
          <w:szCs w:val="24"/>
        </w:rPr>
      </w:pPr>
      <w:r>
        <w:rPr>
          <w:rFonts w:ascii="Times New Roman" w:eastAsia="宋体"/>
          <w:color w:val="000000"/>
          <w:sz w:val="24"/>
          <w:szCs w:val="24"/>
        </w:rPr>
        <w:t>4.</w:t>
      </w:r>
      <w:r>
        <w:rPr>
          <w:rFonts w:hint="eastAsia" w:ascii="Times New Roman" w:eastAsia="宋体"/>
          <w:color w:val="000000"/>
          <w:sz w:val="24"/>
          <w:szCs w:val="24"/>
        </w:rPr>
        <w:t>日常系统巡检</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Times New Roman" w:eastAsia="宋体"/>
          <w:color w:val="000000"/>
          <w:sz w:val="24"/>
          <w:szCs w:val="24"/>
        </w:rPr>
      </w:pPr>
      <w:r>
        <w:rPr>
          <w:rFonts w:hint="eastAsia" w:ascii="Times New Roman" w:eastAsia="宋体"/>
          <w:color w:val="000000"/>
          <w:sz w:val="24"/>
          <w:szCs w:val="24"/>
          <w:lang w:val="en-US" w:eastAsia="zh-CN"/>
        </w:rPr>
        <w:t>4.1</w:t>
      </w:r>
      <w:r>
        <w:rPr>
          <w:rFonts w:hint="eastAsia" w:ascii="Times New Roman" w:eastAsia="宋体"/>
          <w:color w:val="000000"/>
          <w:sz w:val="24"/>
          <w:szCs w:val="24"/>
        </w:rPr>
        <w:t>系统巡检：查看系统软件、站点连网、数据上传状况等，对系统及站点故障做日故障巡检记录并注明故障原因和解决方法，对经初步判断需要去前端处理的及时派出维修人员，并做好</w:t>
      </w:r>
      <w:r>
        <w:rPr>
          <w:rFonts w:hint="eastAsia" w:ascii="Times New Roman" w:eastAsia="宋体"/>
          <w:color w:val="000000"/>
          <w:sz w:val="24"/>
          <w:szCs w:val="24"/>
          <w:lang w:val="en-US" w:eastAsia="zh-CN"/>
        </w:rPr>
        <w:t>记录</w:t>
      </w:r>
      <w:r>
        <w:rPr>
          <w:rFonts w:hint="eastAsia" w:ascii="Times New Roman" w:eastAsia="宋体"/>
          <w:color w:val="000000"/>
          <w:sz w:val="24"/>
          <w:szCs w:val="24"/>
        </w:rPr>
        <w:t>。</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Times New Roman" w:eastAsia="宋体"/>
          <w:color w:val="000000"/>
          <w:sz w:val="24"/>
          <w:szCs w:val="24"/>
          <w:lang w:eastAsia="zh-CN"/>
        </w:rPr>
      </w:pPr>
      <w:r>
        <w:rPr>
          <w:rFonts w:hint="eastAsia" w:ascii="Times New Roman" w:eastAsia="宋体"/>
          <w:color w:val="000000"/>
          <w:sz w:val="24"/>
          <w:szCs w:val="24"/>
          <w:lang w:val="en-US" w:eastAsia="zh-CN"/>
        </w:rPr>
        <w:t>4.2</w:t>
      </w:r>
      <w:r>
        <w:rPr>
          <w:rFonts w:hint="eastAsia" w:ascii="Times New Roman" w:eastAsia="宋体"/>
          <w:color w:val="000000"/>
          <w:sz w:val="24"/>
          <w:szCs w:val="24"/>
        </w:rPr>
        <w:t>数据巡检：查看监测数据异常情况，包括测量系统故障造成的数值基本保持不变、小时数据与前日相比均升高 5 分贝（A）以上的数据等，分析异常值出现的原因。在影响因素无法确定时，应进行现场查验，判断是周围环境改变（如施工、遮挡等）还是属于系统或仪器故障，后者应在 24 小时内处理并上报采购人，按规定要求解决故障</w:t>
      </w:r>
      <w:r>
        <w:rPr>
          <w:rFonts w:hint="eastAsia" w:ascii="Times New Roman" w:eastAsia="宋体"/>
          <w:color w:val="000000"/>
          <w:sz w:val="24"/>
          <w:szCs w:val="24"/>
          <w:lang w:eastAsia="zh-CN"/>
        </w:rPr>
        <w:t>。</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lang w:val="en-US" w:eastAsia="zh-CN"/>
        </w:rPr>
        <w:t>5、</w:t>
      </w:r>
      <w:r>
        <w:rPr>
          <w:rFonts w:ascii="Times New Roman" w:eastAsia="宋体"/>
          <w:color w:val="000000"/>
          <w:sz w:val="24"/>
          <w:szCs w:val="24"/>
        </w:rPr>
        <w:t>定期巡检要求</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lang w:val="en-US" w:eastAsia="zh-CN"/>
        </w:rPr>
        <w:t>5</w:t>
      </w:r>
      <w:r>
        <w:rPr>
          <w:rFonts w:ascii="Times New Roman" w:eastAsia="宋体"/>
          <w:color w:val="000000"/>
          <w:sz w:val="24"/>
          <w:szCs w:val="24"/>
        </w:rPr>
        <w:t>.1 供应商应定期派专职维护人员上门巡查仪器运行情况，每</w:t>
      </w:r>
      <w:r>
        <w:rPr>
          <w:rFonts w:hint="eastAsia" w:ascii="Times New Roman" w:eastAsia="宋体"/>
          <w:color w:val="000000"/>
          <w:sz w:val="24"/>
          <w:szCs w:val="24"/>
          <w:lang w:val="en-US" w:eastAsia="zh-CN"/>
        </w:rPr>
        <w:t>月</w:t>
      </w:r>
      <w:r>
        <w:rPr>
          <w:rFonts w:ascii="Times New Roman" w:eastAsia="宋体"/>
          <w:color w:val="000000"/>
          <w:sz w:val="24"/>
          <w:szCs w:val="24"/>
        </w:rPr>
        <w:t>至少一次，对各个站点设备进行巡检过程中，积极主动地对系统潜在问题给予解决，并在巡检结束后，向</w:t>
      </w:r>
      <w:r>
        <w:rPr>
          <w:rFonts w:hint="eastAsia" w:ascii="Times New Roman" w:eastAsia="宋体"/>
          <w:color w:val="000000"/>
          <w:sz w:val="24"/>
          <w:szCs w:val="24"/>
          <w:lang w:eastAsia="zh-CN"/>
        </w:rPr>
        <w:t>采购人</w:t>
      </w:r>
      <w:r>
        <w:rPr>
          <w:rFonts w:ascii="Times New Roman" w:eastAsia="宋体"/>
          <w:color w:val="000000"/>
          <w:sz w:val="24"/>
          <w:szCs w:val="24"/>
        </w:rPr>
        <w:t>提交《XX设备巡检总结》，对系统的工作状况、存在的问题及解决、备品备件筹备建议等方面做出详尽的总结和论述。</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lang w:val="en-US" w:eastAsia="zh-CN"/>
        </w:rPr>
        <w:t>5</w:t>
      </w:r>
      <w:r>
        <w:rPr>
          <w:rFonts w:ascii="Times New Roman" w:eastAsia="宋体"/>
          <w:color w:val="000000"/>
          <w:sz w:val="24"/>
          <w:szCs w:val="24"/>
        </w:rPr>
        <w:t>.2 在对户外设备巡检期间，完成噪声仪表的户外防风罩清洁或更换、户外设备喷涂防锈漆、仪表的安装位置确认等工作。</w:t>
      </w:r>
      <w:r>
        <w:rPr>
          <w:rFonts w:hint="eastAsia" w:ascii="Times New Roman" w:eastAsia="宋体"/>
          <w:color w:val="000000"/>
          <w:sz w:val="24"/>
          <w:szCs w:val="24"/>
          <w:lang w:val="en-US" w:eastAsia="zh-CN"/>
        </w:rPr>
        <w:t>如果有更换风罩或清洗风罩的要求，供应商需在现场校准时一并完成。</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Times New Roman" w:eastAsia="宋体"/>
          <w:color w:val="000000"/>
          <w:sz w:val="24"/>
          <w:szCs w:val="24"/>
          <w:lang w:val="en-US" w:eastAsia="zh-CN"/>
        </w:rPr>
      </w:pPr>
      <w:r>
        <w:rPr>
          <w:rFonts w:hint="eastAsia" w:ascii="Times New Roman" w:eastAsia="宋体"/>
          <w:color w:val="000000"/>
          <w:sz w:val="24"/>
          <w:szCs w:val="24"/>
          <w:lang w:val="en-US" w:eastAsia="zh-CN"/>
        </w:rPr>
        <w:t>5.3 供应商负责站点的卫生清洁工作，一年至少做 4 次（通常可与现场巡检、校准一并完成）。要求做到外箱整洁、内箱及设备干净无尘土、蜘蛛网等。</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lang w:val="en-US" w:eastAsia="zh-CN"/>
        </w:rPr>
        <w:t>6</w:t>
      </w:r>
      <w:r>
        <w:rPr>
          <w:rFonts w:ascii="Times New Roman" w:eastAsia="宋体"/>
          <w:color w:val="000000"/>
          <w:sz w:val="24"/>
          <w:szCs w:val="24"/>
        </w:rPr>
        <w:t>.</w:t>
      </w:r>
      <w:r>
        <w:rPr>
          <w:rFonts w:hint="eastAsia" w:ascii="Times New Roman" w:eastAsia="宋体"/>
          <w:color w:val="000000"/>
          <w:sz w:val="24"/>
          <w:szCs w:val="24"/>
        </w:rPr>
        <w:t>系统硬件维护与保修</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ascii="Times New Roman" w:eastAsia="宋体"/>
          <w:color w:val="000000"/>
          <w:sz w:val="24"/>
          <w:szCs w:val="24"/>
        </w:rPr>
        <w:t>运维期间</w:t>
      </w:r>
      <w:r>
        <w:rPr>
          <w:rFonts w:hint="eastAsia" w:ascii="Times New Roman" w:eastAsia="宋体"/>
          <w:color w:val="000000"/>
          <w:sz w:val="24"/>
          <w:szCs w:val="24"/>
        </w:rPr>
        <w:t>提供噪声自动监测终端故障维修</w:t>
      </w:r>
      <w:r>
        <w:rPr>
          <w:rFonts w:ascii="Times New Roman" w:eastAsia="宋体"/>
          <w:color w:val="000000"/>
          <w:sz w:val="24"/>
          <w:szCs w:val="24"/>
        </w:rPr>
        <w:t>保障</w:t>
      </w:r>
      <w:r>
        <w:rPr>
          <w:rFonts w:hint="eastAsia" w:ascii="Times New Roman" w:eastAsia="宋体"/>
          <w:color w:val="000000"/>
          <w:sz w:val="24"/>
          <w:szCs w:val="24"/>
        </w:rPr>
        <w:t>，在设备遇到故障时，先提供备品备件更换以保证噪声监测中终端正常工作，再将故障元件返回原厂进行维修；备品备件及维修范围包括：户外噪声监测终端，户外传声器，噪声分析仪，工业电脑，主板等。成交供应商负责对已超出原厂商一年免费保修期的硬件产品提供运维期内的保修服务</w:t>
      </w:r>
      <w:r>
        <w:rPr>
          <w:rFonts w:ascii="Times New Roman" w:eastAsia="宋体"/>
          <w:color w:val="000000"/>
          <w:sz w:val="24"/>
          <w:szCs w:val="24"/>
        </w:rPr>
        <w:t>，</w:t>
      </w:r>
      <w:r>
        <w:rPr>
          <w:rFonts w:hint="eastAsia" w:ascii="Times New Roman" w:eastAsia="宋体"/>
          <w:color w:val="000000"/>
          <w:sz w:val="24"/>
          <w:szCs w:val="24"/>
        </w:rPr>
        <w:t>硬件设备保修包含自然损坏、老化等故障，以及自然灾害与不可抗力（如雷击、电压不稳等）引起的设备损坏。</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lang w:val="en-US" w:eastAsia="zh-CN"/>
        </w:rPr>
        <w:t>7</w:t>
      </w:r>
      <w:r>
        <w:rPr>
          <w:rFonts w:hint="eastAsia" w:ascii="Times New Roman" w:eastAsia="宋体"/>
          <w:color w:val="000000"/>
          <w:sz w:val="24"/>
          <w:szCs w:val="24"/>
        </w:rPr>
        <w:t>.仪器校准</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rPr>
        <w:t>噪声监测终端现场校准需求范围：</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rPr>
        <w:t>现场校准任务分三方面：外部校准、校准比对、复核校准。</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rPr>
        <w:t>外部校准指定期校准8个站点；校准抽验指全面校准结束后后由委托方指定时间、指定站点对校准数据的抽查；复核校准指全面校准时校准前后偏差大于规定值的，需在1个月后再次进行现场校准。</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Times New Roman" w:eastAsia="宋体"/>
          <w:color w:val="000000"/>
          <w:sz w:val="24"/>
          <w:szCs w:val="24"/>
        </w:rPr>
      </w:pPr>
      <w:r>
        <w:rPr>
          <w:rFonts w:hint="eastAsia" w:ascii="Times New Roman" w:eastAsia="宋体"/>
          <w:color w:val="000000"/>
          <w:sz w:val="24"/>
          <w:szCs w:val="24"/>
        </w:rPr>
        <w:t>噪声监测终端系统每</w:t>
      </w:r>
      <w:r>
        <w:rPr>
          <w:rFonts w:ascii="Times New Roman" w:eastAsia="宋体"/>
          <w:color w:val="000000"/>
          <w:sz w:val="24"/>
          <w:szCs w:val="24"/>
        </w:rPr>
        <w:t>1</w:t>
      </w:r>
      <w:r>
        <w:rPr>
          <w:rFonts w:hint="eastAsia" w:ascii="Times New Roman" w:eastAsia="宋体"/>
          <w:color w:val="000000"/>
          <w:sz w:val="24"/>
          <w:szCs w:val="24"/>
        </w:rPr>
        <w:t>个月做一次外部校准，一年</w:t>
      </w:r>
      <w:r>
        <w:rPr>
          <w:rFonts w:ascii="Times New Roman" w:eastAsia="宋体"/>
          <w:color w:val="000000"/>
          <w:sz w:val="24"/>
          <w:szCs w:val="24"/>
        </w:rPr>
        <w:t>12</w:t>
      </w:r>
      <w:r>
        <w:rPr>
          <w:rFonts w:hint="eastAsia" w:ascii="Times New Roman" w:eastAsia="宋体"/>
          <w:color w:val="000000"/>
          <w:sz w:val="24"/>
          <w:szCs w:val="24"/>
        </w:rPr>
        <w:t>次。月初提交上月校</w:t>
      </w:r>
    </w:p>
    <w:p>
      <w:pPr>
        <w:pStyle w:val="36"/>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contextualSpacing/>
        <w:jc w:val="left"/>
        <w:textAlignment w:val="auto"/>
        <w:rPr>
          <w:rFonts w:ascii="Times New Roman" w:eastAsia="宋体"/>
          <w:color w:val="000000"/>
          <w:sz w:val="24"/>
          <w:szCs w:val="24"/>
        </w:rPr>
      </w:pPr>
      <w:r>
        <w:rPr>
          <w:rFonts w:hint="eastAsia" w:ascii="Times New Roman" w:eastAsia="宋体"/>
          <w:color w:val="000000"/>
          <w:sz w:val="24"/>
          <w:szCs w:val="24"/>
        </w:rPr>
        <w:t>准统计表，校准抽验工作由</w:t>
      </w:r>
      <w:r>
        <w:rPr>
          <w:rFonts w:hint="eastAsia" w:ascii="Times New Roman" w:eastAsia="宋体"/>
          <w:color w:val="000000"/>
          <w:sz w:val="24"/>
          <w:szCs w:val="24"/>
          <w:lang w:val="en-US" w:eastAsia="zh-CN"/>
        </w:rPr>
        <w:t>采购人</w:t>
      </w:r>
      <w:r>
        <w:rPr>
          <w:rFonts w:hint="eastAsia" w:ascii="Times New Roman" w:eastAsia="宋体"/>
          <w:color w:val="000000"/>
          <w:sz w:val="24"/>
          <w:szCs w:val="24"/>
        </w:rPr>
        <w:t>随时指定站点、日期，</w:t>
      </w:r>
      <w:r>
        <w:rPr>
          <w:rFonts w:hint="eastAsia" w:ascii="Times New Roman" w:eastAsia="宋体"/>
          <w:color w:val="000000"/>
          <w:sz w:val="24"/>
          <w:szCs w:val="24"/>
          <w:lang w:val="en-US" w:eastAsia="zh-CN"/>
        </w:rPr>
        <w:t>供应商</w:t>
      </w:r>
      <w:r>
        <w:rPr>
          <w:rFonts w:hint="eastAsia" w:ascii="Times New Roman" w:eastAsia="宋体"/>
          <w:color w:val="000000"/>
          <w:sz w:val="24"/>
          <w:szCs w:val="24"/>
        </w:rPr>
        <w:t>积极配合，不得推委。</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rPr>
        <w:t>校准前后偏差≥0.5 分贝的站点维护调校后 1 周左右必须再次校准（复核）。再次校准前后偏差仍≥0.5 分贝的，要求在 2 个工作日完成整改维护。现场校准用校准器，需每年进行计量认证，并将计量认证证书复印件提交</w:t>
      </w:r>
      <w:r>
        <w:rPr>
          <w:rFonts w:hint="eastAsia" w:ascii="Times New Roman" w:eastAsia="宋体"/>
          <w:color w:val="000000"/>
          <w:sz w:val="24"/>
          <w:szCs w:val="24"/>
          <w:lang w:val="en-US" w:eastAsia="zh-CN"/>
        </w:rPr>
        <w:t>采购人</w:t>
      </w:r>
      <w:r>
        <w:rPr>
          <w:rFonts w:hint="eastAsia" w:ascii="Times New Roman" w:eastAsia="宋体"/>
          <w:color w:val="000000"/>
          <w:sz w:val="24"/>
          <w:szCs w:val="24"/>
        </w:rPr>
        <w:t>。</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lang w:val="en-US" w:eastAsia="zh-CN"/>
        </w:rPr>
        <w:t>8</w:t>
      </w:r>
      <w:r>
        <w:rPr>
          <w:rFonts w:ascii="Times New Roman" w:eastAsia="宋体"/>
          <w:color w:val="000000"/>
          <w:sz w:val="24"/>
          <w:szCs w:val="24"/>
        </w:rPr>
        <w:t>.</w:t>
      </w:r>
      <w:r>
        <w:rPr>
          <w:rFonts w:hint="eastAsia" w:ascii="Times New Roman" w:eastAsia="宋体"/>
          <w:color w:val="000000"/>
          <w:sz w:val="24"/>
          <w:szCs w:val="24"/>
        </w:rPr>
        <w:t>比对实验</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Times New Roman" w:eastAsia="宋体"/>
          <w:color w:val="000000"/>
          <w:sz w:val="24"/>
          <w:szCs w:val="24"/>
          <w:lang w:eastAsia="zh-CN"/>
        </w:rPr>
      </w:pPr>
      <w:r>
        <w:rPr>
          <w:rFonts w:hint="eastAsia" w:ascii="Times New Roman" w:eastAsia="宋体"/>
          <w:color w:val="000000"/>
          <w:sz w:val="24"/>
          <w:szCs w:val="24"/>
        </w:rPr>
        <w:t>供应商需每月对8个站点进行比对实验，并将比对结果上报</w:t>
      </w:r>
      <w:r>
        <w:rPr>
          <w:rFonts w:hint="eastAsia" w:ascii="Times New Roman" w:eastAsia="宋体"/>
          <w:color w:val="000000"/>
          <w:sz w:val="24"/>
          <w:szCs w:val="24"/>
          <w:lang w:eastAsia="zh-CN"/>
        </w:rPr>
        <w:t>采购人</w:t>
      </w:r>
      <w:r>
        <w:rPr>
          <w:rFonts w:hint="eastAsia" w:ascii="Times New Roman" w:eastAsia="宋体"/>
          <w:color w:val="000000"/>
          <w:sz w:val="24"/>
          <w:szCs w:val="24"/>
        </w:rPr>
        <w:t>，对比对不合格的点位进行全面排查，直至比对结果符合要求为止</w:t>
      </w:r>
      <w:r>
        <w:rPr>
          <w:rFonts w:hint="eastAsia" w:ascii="Times New Roman" w:eastAsia="宋体"/>
          <w:color w:val="000000"/>
          <w:sz w:val="24"/>
          <w:szCs w:val="24"/>
          <w:lang w:eastAsia="zh-CN"/>
        </w:rPr>
        <w:t>。</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color w:val="000000"/>
          <w:sz w:val="24"/>
          <w:lang w:val="en-US" w:eastAsia="zh-CN"/>
        </w:rPr>
        <w:t>9</w:t>
      </w:r>
      <w:r>
        <w:rPr>
          <w:color w:val="000000"/>
          <w:sz w:val="24"/>
        </w:rPr>
        <w:t>.</w:t>
      </w:r>
      <w:r>
        <w:rPr>
          <w:rFonts w:hint="eastAsia" w:ascii="Times New Roman" w:eastAsia="宋体"/>
          <w:color w:val="000000"/>
          <w:sz w:val="24"/>
          <w:szCs w:val="24"/>
        </w:rPr>
        <w:t>运维记录</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eastAsia="宋体"/>
          <w:color w:val="000000"/>
          <w:sz w:val="24"/>
          <w:szCs w:val="24"/>
        </w:rPr>
        <w:t>噪声子站</w:t>
      </w:r>
      <w:r>
        <w:rPr>
          <w:rFonts w:ascii="Times New Roman" w:eastAsia="宋体"/>
          <w:color w:val="000000"/>
          <w:sz w:val="24"/>
          <w:szCs w:val="24"/>
        </w:rPr>
        <w:t>运维记录的规范、上报。认真、及时做好</w:t>
      </w:r>
      <w:r>
        <w:rPr>
          <w:rFonts w:hint="eastAsia" w:ascii="Times New Roman" w:eastAsia="宋体"/>
          <w:color w:val="000000"/>
          <w:sz w:val="24"/>
          <w:szCs w:val="24"/>
        </w:rPr>
        <w:t>噪声子站的</w:t>
      </w:r>
      <w:r>
        <w:rPr>
          <w:rFonts w:ascii="Times New Roman" w:eastAsia="宋体"/>
          <w:color w:val="000000"/>
          <w:sz w:val="24"/>
          <w:szCs w:val="24"/>
        </w:rPr>
        <w:t>运行维护记录，汇总各</w:t>
      </w:r>
      <w:r>
        <w:rPr>
          <w:rFonts w:hint="eastAsia" w:ascii="Times New Roman" w:eastAsia="宋体"/>
          <w:color w:val="000000"/>
          <w:sz w:val="24"/>
          <w:szCs w:val="24"/>
        </w:rPr>
        <w:t>子</w:t>
      </w:r>
      <w:r>
        <w:rPr>
          <w:rFonts w:ascii="Times New Roman" w:eastAsia="宋体"/>
          <w:color w:val="000000"/>
          <w:sz w:val="24"/>
          <w:szCs w:val="24"/>
        </w:rPr>
        <w:t>站每周维护记录，每月以书面形式报</w:t>
      </w:r>
      <w:r>
        <w:rPr>
          <w:rFonts w:hint="eastAsia" w:ascii="Times New Roman" w:eastAsia="宋体"/>
          <w:color w:val="000000"/>
          <w:sz w:val="24"/>
          <w:szCs w:val="24"/>
          <w:lang w:eastAsia="zh-CN"/>
        </w:rPr>
        <w:t>采购人</w:t>
      </w:r>
      <w:r>
        <w:rPr>
          <w:rFonts w:ascii="Times New Roman" w:eastAsia="宋体"/>
          <w:color w:val="000000"/>
          <w:sz w:val="24"/>
          <w:szCs w:val="24"/>
        </w:rPr>
        <w:t>，书面报告作为运行维护考核依据之一，具体包括：</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ascii="Times New Roman" w:eastAsia="宋体"/>
          <w:color w:val="000000"/>
          <w:sz w:val="24"/>
          <w:szCs w:val="24"/>
        </w:rPr>
        <w:t>（1）</w:t>
      </w:r>
      <w:r>
        <w:rPr>
          <w:rFonts w:hint="eastAsia" w:ascii="Times New Roman" w:eastAsia="宋体"/>
          <w:color w:val="000000"/>
          <w:sz w:val="24"/>
          <w:szCs w:val="24"/>
        </w:rPr>
        <w:t>子</w:t>
      </w:r>
      <w:r>
        <w:rPr>
          <w:rFonts w:ascii="Times New Roman" w:eastAsia="宋体"/>
          <w:color w:val="000000"/>
          <w:sz w:val="24"/>
          <w:szCs w:val="24"/>
        </w:rPr>
        <w:t>站现场维护记录</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ascii="Times New Roman" w:eastAsia="宋体"/>
          <w:color w:val="000000"/>
          <w:sz w:val="24"/>
          <w:szCs w:val="24"/>
        </w:rPr>
        <w:t>（2）</w:t>
      </w:r>
      <w:r>
        <w:rPr>
          <w:rFonts w:hint="eastAsia" w:ascii="Times New Roman" w:eastAsia="宋体"/>
          <w:color w:val="000000"/>
          <w:sz w:val="24"/>
          <w:szCs w:val="24"/>
        </w:rPr>
        <w:t>子</w:t>
      </w:r>
      <w:r>
        <w:rPr>
          <w:rFonts w:ascii="Times New Roman" w:eastAsia="宋体"/>
          <w:color w:val="000000"/>
          <w:sz w:val="24"/>
          <w:szCs w:val="24"/>
        </w:rPr>
        <w:t>站仪器设备故障及排除情况登记表</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ascii="Times New Roman" w:eastAsia="宋体"/>
          <w:color w:val="000000"/>
          <w:sz w:val="24"/>
          <w:szCs w:val="24"/>
        </w:rPr>
        <w:t>（3）</w:t>
      </w:r>
      <w:r>
        <w:rPr>
          <w:rFonts w:hint="eastAsia" w:ascii="Times New Roman" w:eastAsia="宋体"/>
          <w:color w:val="000000"/>
          <w:sz w:val="24"/>
          <w:szCs w:val="24"/>
        </w:rPr>
        <w:t>子</w:t>
      </w:r>
      <w:r>
        <w:rPr>
          <w:rFonts w:ascii="Times New Roman" w:eastAsia="宋体"/>
          <w:color w:val="000000"/>
          <w:sz w:val="24"/>
          <w:szCs w:val="24"/>
        </w:rPr>
        <w:t>站每月运行情况</w:t>
      </w:r>
    </w:p>
    <w:p>
      <w:pPr>
        <w:keepNext w:val="0"/>
        <w:keepLines w:val="0"/>
        <w:pageBreakBefore w:val="0"/>
        <w:widowControl w:val="0"/>
        <w:tabs>
          <w:tab w:val="left" w:pos="2280"/>
        </w:tabs>
        <w:kinsoku/>
        <w:wordWrap/>
        <w:overflowPunct/>
        <w:topLinePunct w:val="0"/>
        <w:autoSpaceDE/>
        <w:autoSpaceDN/>
        <w:bidi w:val="0"/>
        <w:adjustRightInd/>
        <w:snapToGrid w:val="0"/>
        <w:spacing w:line="360" w:lineRule="auto"/>
        <w:ind w:firstLine="482" w:firstLineChars="200"/>
        <w:contextualSpacing/>
        <w:textAlignment w:val="auto"/>
        <w:rPr>
          <w:b/>
          <w:bCs/>
          <w:sz w:val="24"/>
        </w:rPr>
      </w:pPr>
      <w:r>
        <w:rPr>
          <w:rFonts w:hint="eastAsia"/>
          <w:b/>
          <w:bCs/>
          <w:sz w:val="24"/>
        </w:rPr>
        <w:t>七</w:t>
      </w:r>
      <w:r>
        <w:rPr>
          <w:b/>
          <w:bCs/>
          <w:sz w:val="24"/>
        </w:rPr>
        <w:t>. 监督考核与</w:t>
      </w:r>
      <w:r>
        <w:rPr>
          <w:rFonts w:hint="eastAsia"/>
          <w:b/>
          <w:bCs/>
          <w:sz w:val="24"/>
        </w:rPr>
        <w:t>考核</w:t>
      </w:r>
      <w:r>
        <w:rPr>
          <w:b/>
          <w:bCs/>
          <w:sz w:val="24"/>
        </w:rPr>
        <w:t>办法</w:t>
      </w:r>
    </w:p>
    <w:p>
      <w:pPr>
        <w:keepNext w:val="0"/>
        <w:keepLines w:val="0"/>
        <w:pageBreakBefore w:val="0"/>
        <w:widowControl w:val="0"/>
        <w:tabs>
          <w:tab w:val="left" w:pos="2280"/>
        </w:tabs>
        <w:kinsoku/>
        <w:wordWrap/>
        <w:overflowPunct/>
        <w:topLinePunct w:val="0"/>
        <w:autoSpaceDE/>
        <w:autoSpaceDN/>
        <w:bidi w:val="0"/>
        <w:adjustRightInd/>
        <w:snapToGrid w:val="0"/>
        <w:spacing w:line="360" w:lineRule="auto"/>
        <w:ind w:firstLine="480" w:firstLineChars="200"/>
        <w:contextualSpacing/>
        <w:textAlignment w:val="auto"/>
        <w:rPr>
          <w:sz w:val="24"/>
        </w:rPr>
      </w:pPr>
      <w:r>
        <w:rPr>
          <w:sz w:val="24"/>
        </w:rPr>
        <w:t>1、监督管理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rPr>
      </w:pPr>
      <w:r>
        <w:rPr>
          <w:sz w:val="24"/>
        </w:rPr>
        <w:t>1.1数据必须真实有效，供应商近3年内，在环境监测服务活动中必须没有弄虚作假行为（请</w:t>
      </w:r>
      <w:r>
        <w:rPr>
          <w:rFonts w:hint="eastAsia"/>
          <w:sz w:val="24"/>
        </w:rPr>
        <w:t>供应商</w:t>
      </w:r>
      <w:r>
        <w:rPr>
          <w:sz w:val="24"/>
        </w:rPr>
        <w:t>根据本单位实际情况咨询承诺，若有不实，按提供虚假资料处理，投标</w:t>
      </w:r>
      <w:r>
        <w:rPr>
          <w:rFonts w:hint="eastAsia"/>
          <w:sz w:val="24"/>
        </w:rPr>
        <w:t>响应</w:t>
      </w:r>
      <w:r>
        <w:rPr>
          <w:sz w:val="24"/>
        </w:rPr>
        <w:t>及中标无效，并承担相关法律责任）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rPr>
      </w:pPr>
      <w:r>
        <w:rPr>
          <w:sz w:val="24"/>
        </w:rPr>
        <w:t>1.2响应供应商应承担监测数据的保密责任（签订保密协议），不得利用本项目的数据、档案或有关资料对外开展技术交流、业务联系、数据交换等。否则，</w:t>
      </w:r>
      <w:r>
        <w:rPr>
          <w:rFonts w:hint="eastAsia"/>
          <w:sz w:val="24"/>
          <w:lang w:eastAsia="zh-CN"/>
        </w:rPr>
        <w:t>采购人</w:t>
      </w:r>
      <w:r>
        <w:rPr>
          <w:sz w:val="24"/>
        </w:rPr>
        <w:t>有权终止合同。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rPr>
      </w:pPr>
      <w:r>
        <w:rPr>
          <w:sz w:val="24"/>
        </w:rPr>
        <w:t>1.3运维期间出现调整数据、修改参数、改动设备、</w:t>
      </w:r>
      <w:r>
        <w:rPr>
          <w:rFonts w:hint="eastAsia"/>
          <w:sz w:val="24"/>
        </w:rPr>
        <w:t>比对</w:t>
      </w:r>
      <w:r>
        <w:rPr>
          <w:sz w:val="24"/>
        </w:rPr>
        <w:t>结果与平台采集结果不一致、弄虚作假等违规行为的，一经查实，</w:t>
      </w:r>
      <w:r>
        <w:rPr>
          <w:rFonts w:hint="eastAsia"/>
          <w:color w:val="000000"/>
          <w:sz w:val="24"/>
          <w:lang w:eastAsia="zh-CN"/>
        </w:rPr>
        <w:t>采购人</w:t>
      </w:r>
      <w:r>
        <w:rPr>
          <w:sz w:val="24"/>
        </w:rPr>
        <w:t>有权终止运维合同。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rPr>
      </w:pPr>
      <w:r>
        <w:rPr>
          <w:sz w:val="24"/>
        </w:rPr>
        <w:t>1.4</w:t>
      </w:r>
      <w:r>
        <w:rPr>
          <w:rFonts w:hint="eastAsia"/>
          <w:color w:val="000000"/>
          <w:sz w:val="24"/>
          <w:lang w:eastAsia="zh-CN"/>
        </w:rPr>
        <w:t>采购人</w:t>
      </w:r>
      <w:r>
        <w:rPr>
          <w:sz w:val="24"/>
        </w:rPr>
        <w:t>组织开展运维管理和</w:t>
      </w:r>
      <w:r>
        <w:rPr>
          <w:rFonts w:hint="eastAsia"/>
          <w:sz w:val="24"/>
        </w:rPr>
        <w:t>比对</w:t>
      </w:r>
      <w:r>
        <w:rPr>
          <w:sz w:val="24"/>
        </w:rPr>
        <w:t>考核，对达不到运维要求或违规操作的，可以</w:t>
      </w:r>
      <w:r>
        <w:rPr>
          <w:snapToGrid w:val="0"/>
          <w:kern w:val="0"/>
          <w:sz w:val="24"/>
        </w:rPr>
        <w:t>取消该公司在</w:t>
      </w:r>
      <w:r>
        <w:rPr>
          <w:rFonts w:hint="eastAsia"/>
          <w:sz w:val="24"/>
        </w:rPr>
        <w:t>南通市</w:t>
      </w:r>
      <w:r>
        <w:rPr>
          <w:sz w:val="24"/>
        </w:rPr>
        <w:t>相关</w:t>
      </w:r>
      <w:r>
        <w:rPr>
          <w:snapToGrid w:val="0"/>
          <w:kern w:val="0"/>
          <w:sz w:val="24"/>
        </w:rPr>
        <w:t>运维投标</w:t>
      </w:r>
      <w:r>
        <w:rPr>
          <w:rFonts w:hint="eastAsia"/>
          <w:snapToGrid w:val="0"/>
          <w:kern w:val="0"/>
          <w:sz w:val="24"/>
        </w:rPr>
        <w:t>响应</w:t>
      </w:r>
      <w:r>
        <w:rPr>
          <w:snapToGrid w:val="0"/>
          <w:kern w:val="0"/>
          <w:sz w:val="24"/>
        </w:rPr>
        <w:t>资格或</w:t>
      </w:r>
      <w:r>
        <w:rPr>
          <w:sz w:val="24"/>
        </w:rPr>
        <w:t>扣减相应的运维经费，并有权终止运维合同。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rPr>
      </w:pPr>
      <w:r>
        <w:rPr>
          <w:rFonts w:hint="eastAsia"/>
          <w:sz w:val="24"/>
        </w:rPr>
        <w:t>2</w:t>
      </w:r>
      <w:r>
        <w:rPr>
          <w:sz w:val="24"/>
        </w:rPr>
        <w:t>、</w:t>
      </w:r>
      <w:r>
        <w:rPr>
          <w:rFonts w:hint="eastAsia"/>
          <w:sz w:val="24"/>
        </w:rPr>
        <w:t>考核办法</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ascii="Times New Roman" w:eastAsia="宋体"/>
          <w:color w:val="000000"/>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.1</w:t>
      </w:r>
      <w:r>
        <w:rPr>
          <w:rFonts w:ascii="Times New Roman" w:eastAsia="宋体"/>
          <w:color w:val="000000"/>
          <w:sz w:val="24"/>
          <w:szCs w:val="24"/>
        </w:rPr>
        <w:t>每月以书面形式报</w:t>
      </w:r>
      <w:r>
        <w:rPr>
          <w:rFonts w:hint="eastAsia" w:ascii="Times New Roman" w:eastAsia="宋体"/>
          <w:color w:val="000000"/>
          <w:sz w:val="24"/>
          <w:szCs w:val="24"/>
          <w:lang w:eastAsia="zh-CN"/>
        </w:rPr>
        <w:t>采购人</w:t>
      </w:r>
      <w:r>
        <w:rPr>
          <w:rFonts w:ascii="Times New Roman" w:eastAsia="宋体"/>
          <w:color w:val="000000"/>
          <w:sz w:val="24"/>
          <w:szCs w:val="24"/>
        </w:rPr>
        <w:t>，书面报告作为运行维护考核依据之一，具体包括：</w:t>
      </w:r>
      <w:r>
        <w:rPr>
          <w:rFonts w:hint="eastAsia" w:ascii="Times New Roman" w:eastAsia="宋体"/>
          <w:color w:val="000000"/>
          <w:sz w:val="24"/>
          <w:szCs w:val="24"/>
        </w:rPr>
        <w:t>子</w:t>
      </w:r>
      <w:r>
        <w:rPr>
          <w:rFonts w:ascii="Times New Roman" w:eastAsia="宋体"/>
          <w:color w:val="000000"/>
          <w:sz w:val="24"/>
          <w:szCs w:val="24"/>
        </w:rPr>
        <w:t>站现场维护记录</w:t>
      </w:r>
      <w:r>
        <w:rPr>
          <w:rFonts w:hint="eastAsia" w:ascii="宋体" w:eastAsia="宋体"/>
          <w:color w:val="000000"/>
          <w:sz w:val="24"/>
          <w:szCs w:val="24"/>
        </w:rPr>
        <w:t>、</w:t>
      </w:r>
      <w:r>
        <w:rPr>
          <w:rFonts w:hint="eastAsia" w:ascii="Times New Roman" w:eastAsia="宋体"/>
          <w:color w:val="000000"/>
          <w:sz w:val="24"/>
          <w:szCs w:val="24"/>
        </w:rPr>
        <w:t>子</w:t>
      </w:r>
      <w:r>
        <w:rPr>
          <w:rFonts w:ascii="Times New Roman" w:eastAsia="宋体"/>
          <w:color w:val="000000"/>
          <w:sz w:val="24"/>
          <w:szCs w:val="24"/>
        </w:rPr>
        <w:t>站仪器设备故障及排除情况登记表</w:t>
      </w:r>
      <w:r>
        <w:rPr>
          <w:rFonts w:hint="eastAsia" w:ascii="宋体" w:eastAsia="宋体"/>
          <w:color w:val="000000"/>
          <w:sz w:val="24"/>
          <w:szCs w:val="24"/>
        </w:rPr>
        <w:t>、</w:t>
      </w:r>
      <w:r>
        <w:rPr>
          <w:rFonts w:hint="eastAsia" w:ascii="Times New Roman" w:eastAsia="宋体"/>
          <w:color w:val="000000"/>
          <w:sz w:val="24"/>
          <w:szCs w:val="24"/>
        </w:rPr>
        <w:t>子</w:t>
      </w:r>
      <w:r>
        <w:rPr>
          <w:rFonts w:ascii="Times New Roman" w:eastAsia="宋体"/>
          <w:color w:val="000000"/>
          <w:sz w:val="24"/>
          <w:szCs w:val="24"/>
        </w:rPr>
        <w:t>站每月运行情况</w:t>
      </w:r>
      <w:r>
        <w:rPr>
          <w:rFonts w:hint="eastAsia" w:ascii="Times New Roman" w:eastAsia="宋体"/>
          <w:color w:val="00000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rPr>
      </w:pPr>
      <w:r>
        <w:rPr>
          <w:rFonts w:hint="eastAsia"/>
          <w:sz w:val="24"/>
        </w:rPr>
        <w:t>2</w:t>
      </w:r>
      <w:r>
        <w:rPr>
          <w:sz w:val="24"/>
        </w:rPr>
        <w:t>.2</w:t>
      </w:r>
      <w:r>
        <w:rPr>
          <w:rFonts w:hint="eastAsia"/>
          <w:sz w:val="24"/>
        </w:rPr>
        <w:t>参与履行运行维护服务本项目的运维机构及所有人员，对工作中所涉的数据、资料及文件等负有保密义务，任何情况不得向第三方泄露。如存在上述情况，</w:t>
      </w:r>
      <w:r>
        <w:rPr>
          <w:rFonts w:hint="eastAsia"/>
          <w:color w:val="000000"/>
          <w:sz w:val="24"/>
          <w:lang w:eastAsia="zh-CN"/>
        </w:rPr>
        <w:t>采购人</w:t>
      </w:r>
      <w:r>
        <w:rPr>
          <w:rFonts w:hint="eastAsia"/>
          <w:sz w:val="24"/>
        </w:rPr>
        <w:t>将按严重违约行为依法追究运维机构相关责任。</w:t>
      </w:r>
    </w:p>
    <w:p>
      <w:pPr>
        <w:keepNext w:val="0"/>
        <w:keepLines w:val="0"/>
        <w:pageBreakBefore w:val="0"/>
        <w:widowControl w:val="0"/>
        <w:tabs>
          <w:tab w:val="left" w:pos="709"/>
          <w:tab w:val="left" w:pos="1418"/>
        </w:tabs>
        <w:kinsoku/>
        <w:wordWrap/>
        <w:overflowPunct/>
        <w:topLinePunct w:val="0"/>
        <w:autoSpaceDE/>
        <w:autoSpaceDN/>
        <w:bidi w:val="0"/>
        <w:adjustRightInd/>
        <w:snapToGrid w:val="0"/>
        <w:spacing w:line="360" w:lineRule="auto"/>
        <w:ind w:firstLine="480" w:firstLineChars="200"/>
        <w:textAlignment w:val="auto"/>
        <w:rPr>
          <w:b/>
          <w:bCs/>
          <w:color w:val="000000"/>
          <w:sz w:val="24"/>
        </w:rPr>
      </w:pPr>
      <w:r>
        <w:rPr>
          <w:rFonts w:hint="eastAsia"/>
          <w:sz w:val="24"/>
        </w:rPr>
        <w:t>2.</w:t>
      </w:r>
      <w:r>
        <w:rPr>
          <w:sz w:val="24"/>
        </w:rPr>
        <w:t>3</w:t>
      </w:r>
      <w:r>
        <w:rPr>
          <w:rFonts w:hint="eastAsia"/>
          <w:sz w:val="24"/>
        </w:rPr>
        <w:t xml:space="preserve"> 运行机构存在下列行为之一的，</w:t>
      </w:r>
      <w:r>
        <w:rPr>
          <w:rFonts w:hint="eastAsia"/>
          <w:color w:val="000000"/>
          <w:sz w:val="24"/>
          <w:lang w:eastAsia="zh-CN"/>
        </w:rPr>
        <w:t>采购人</w:t>
      </w:r>
      <w:r>
        <w:rPr>
          <w:rFonts w:hint="eastAsia"/>
          <w:sz w:val="24"/>
        </w:rPr>
        <w:t>将按严重违约行为追究运行机构责任，并将其列入不合格运维商：运维达不到合同要求，单台仪器年度数据有效率低于85%；擅自更改或对外界泄露原始数据；对仪器设备运行管理不善、造成重大损失等。</w:t>
      </w:r>
    </w:p>
    <w:p>
      <w:pPr>
        <w:pStyle w:val="36"/>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Times New Roman" w:eastAsia="宋体"/>
          <w:color w:val="000000"/>
          <w:sz w:val="24"/>
          <w:szCs w:val="24"/>
        </w:rPr>
      </w:pPr>
      <w:r>
        <w:rPr>
          <w:rFonts w:ascii="Times New Roman" w:eastAsia="宋体"/>
          <w:color w:val="000000"/>
          <w:sz w:val="24"/>
          <w:szCs w:val="24"/>
        </w:rPr>
        <w:t>2.4</w:t>
      </w:r>
      <w:r>
        <w:rPr>
          <w:rFonts w:hint="eastAsia" w:ascii="Times New Roman" w:eastAsia="宋体"/>
          <w:color w:val="000000"/>
          <w:sz w:val="24"/>
          <w:szCs w:val="24"/>
        </w:rPr>
        <w:t>噪声自动监测终端外部校准按要求进行，如达不到，扣除该站当月维护费=成交价总额/8/12个月计。</w:t>
      </w:r>
    </w:p>
    <w:p>
      <w:pPr>
        <w:pStyle w:val="3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80" w:leftChars="0"/>
        <w:contextualSpacing/>
        <w:jc w:val="left"/>
        <w:textAlignment w:val="auto"/>
        <w:rPr>
          <w:rFonts w:hint="eastAsia" w:ascii="Times New Roman" w:eastAsia="宋体"/>
          <w:b/>
          <w:color w:val="000000"/>
          <w:sz w:val="24"/>
          <w:szCs w:val="24"/>
          <w:lang w:eastAsia="zh-CN"/>
        </w:rPr>
      </w:pPr>
      <w:r>
        <w:rPr>
          <w:rFonts w:hint="eastAsia" w:ascii="Times New Roman" w:eastAsia="宋体"/>
          <w:b/>
          <w:color w:val="000000"/>
          <w:sz w:val="24"/>
          <w:szCs w:val="24"/>
          <w:lang w:eastAsia="zh-CN"/>
        </w:rPr>
        <w:t>八、付款方式</w:t>
      </w:r>
    </w:p>
    <w:p>
      <w:pPr>
        <w:pStyle w:val="3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Times New Roman" w:eastAsia="宋体"/>
          <w:b w:val="0"/>
          <w:bCs/>
          <w:color w:val="000000"/>
          <w:sz w:val="24"/>
          <w:szCs w:val="24"/>
          <w:highlight w:val="none"/>
          <w:lang w:eastAsia="zh-CN"/>
        </w:rPr>
      </w:pPr>
      <w:r>
        <w:rPr>
          <w:rFonts w:hint="eastAsia" w:ascii="Times New Roman" w:eastAsia="宋体"/>
          <w:b w:val="0"/>
          <w:bCs/>
          <w:color w:val="000000"/>
          <w:sz w:val="24"/>
          <w:szCs w:val="24"/>
          <w:highlight w:val="none"/>
          <w:lang w:eastAsia="zh-CN"/>
        </w:rPr>
        <w:t>付款条件和方式：双方合同签订后两周内，一次性支付合同额的30%作为项目首付款。运维半年后根据日常考核情况15个工作日内支付合同额的40%，运维期满后根据日常考核情况15个工作日内支付合同额的30%余款，如出现不符合双方签订的合同要求中的事项，则根据采购文件考核细则扣除部分费用。</w:t>
      </w:r>
    </w:p>
    <w:p>
      <w:pPr>
        <w:pStyle w:val="5"/>
        <w:pageBreakBefore w:val="0"/>
        <w:kinsoku/>
        <w:wordWrap/>
        <w:overflowPunct/>
        <w:topLinePunct w:val="0"/>
        <w:bidi w:val="0"/>
        <w:spacing w:before="159" w:beforeLines="50" w:after="159" w:afterLines="50" w:line="360" w:lineRule="auto"/>
        <w:jc w:val="center"/>
        <w:textAlignment w:val="auto"/>
        <w:rPr>
          <w:rFonts w:hint="eastAsia" w:ascii="宋体" w:hAnsi="宋体" w:eastAsia="宋体" w:cs="宋体"/>
          <w:sz w:val="36"/>
          <w:szCs w:val="36"/>
        </w:rPr>
      </w:pPr>
      <w:r>
        <w:rPr>
          <w:rFonts w:hint="eastAsia" w:ascii="宋体" w:hAnsi="宋体" w:eastAsia="宋体" w:cs="宋体"/>
          <w:sz w:val="36"/>
          <w:szCs w:val="36"/>
        </w:rPr>
        <w:t>第四部分 评审程序和内容</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一、本代理机构组织磋商活动</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1.成立竞争性磋商小组。</w:t>
      </w:r>
      <w:r>
        <w:rPr>
          <w:rFonts w:hint="eastAsia" w:ascii="宋体" w:hAnsi="宋体" w:eastAsia="宋体" w:cs="宋体"/>
          <w:sz w:val="24"/>
          <w:szCs w:val="24"/>
        </w:rPr>
        <w:t>竞争性磋商小组由采购人代表和评审专家共3人以上单数组成，其中评审专家人数不得少于竞争性磋商小组成员总数的2/3。超过公开磋商限额标准的项目，竞争性磋商小组应当由5人以上单数组成。</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2.竞争性磋商小组的职责：</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磋商文件内容违反国家有关强制性规定的，磋商小组应当停止评审并向采购人或者采购代理机构说明情况。</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3.竞争性磋商小组成员的义务：</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遵纪守法，客观、公正、廉洁地履行职责；根据采购文件的规定独立进行评审，对个人的评审意见承担法律责任；参与评审报告的起草；配合采购人答复供应商提出的质疑；配合财政部门的投诉处理和监督检查工作。</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二、供应商的法定代表人或授权人须持身份证准时参加磋商。</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三、评审程序、内容</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2.磋商小组所有成员应当集中与单一供应商分别进行磋商，并给予所有参加磋商的供应商平等的磋商机会。</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3.在磋商过程中，磋商小组可以根据磋商文件和磋商情况实质性变动采购需求中的技术、服务要求以及合同草案条款，但不得变动磋商文件中的其他内容。实质性变动的内容，须经采购人代表确认。</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对磋商文件作出的实质性变动是磋商文件的有效组成部分，磋商小组应当及时以书面形式同时通知所有参加磋商的供应商。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4.磋商文件能够详细列明采购标的的技术、服务要求的，磋商结束后，磋商小组应当要求所有实质性响应的供应商在规定时间内提交最后报价，提交最后报价的供应商不得少于3家。</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市场竞争不充分的科研项目，以及需要扶持的科技成果转化项目，提交最后报价的供应商可以是2家。</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5.最后报价是供应商响应文件的有效组成部分。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6.已提交响应文件的供应商，在提交最后报价之前，可以根据磋商情况退出磋商。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7.磋商时间由磋商小组掌握。</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四、评审方法-综合评分法</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经磋商确定最终采购需求和提交最后报价的供应商后，由磋商小组采用综合评分法对提交最后报价的供应商的响应文件和最后报价进行综合评分。</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综合评分法，是指响应文件满足磋商文件全部实质性要求且按评审因素的量化指标评审得分最高的供应商为成交候选供应商的评审方法。</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评审时，磋商小组各成员应当独立对每个有效响应的文件进行评价、打分，然后汇总每个供应商每项评分因素的得分。</w:t>
      </w:r>
    </w:p>
    <w:p>
      <w:pPr>
        <w:pStyle w:val="36"/>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 xml:space="preserve">本项目磋商的商务技术和报价评审总分值为100分。两部分评审因素比重如下： </w:t>
      </w:r>
    </w:p>
    <w:p>
      <w:pPr>
        <w:pStyle w:val="36"/>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商务技术分值占总</w:t>
      </w:r>
      <w:r>
        <w:rPr>
          <w:rFonts w:ascii="Times New Roman" w:hAnsi="Times New Roman" w:eastAsia="宋体"/>
          <w:kern w:val="2"/>
          <w:sz w:val="24"/>
          <w:szCs w:val="24"/>
        </w:rPr>
        <w:t>分值的比重为</w:t>
      </w:r>
      <w:r>
        <w:rPr>
          <w:rFonts w:ascii="Times New Roman" w:hAnsi="Times New Roman" w:eastAsia="宋体"/>
          <w:b/>
          <w:kern w:val="2"/>
          <w:sz w:val="24"/>
          <w:szCs w:val="24"/>
          <w:u w:val="single"/>
        </w:rPr>
        <w:t xml:space="preserve"> </w:t>
      </w:r>
      <w:r>
        <w:rPr>
          <w:rFonts w:hint="eastAsia" w:ascii="Times New Roman" w:hAnsi="Times New Roman" w:eastAsia="宋体"/>
          <w:b/>
          <w:kern w:val="2"/>
          <w:sz w:val="24"/>
          <w:szCs w:val="24"/>
          <w:u w:val="single"/>
          <w:lang w:val="en-US" w:eastAsia="zh-CN"/>
        </w:rPr>
        <w:t>70</w:t>
      </w:r>
      <w:r>
        <w:rPr>
          <w:rFonts w:ascii="Times New Roman" w:hAnsi="Times New Roman" w:eastAsia="宋体"/>
          <w:b/>
          <w:kern w:val="2"/>
          <w:sz w:val="24"/>
          <w:szCs w:val="24"/>
          <w:u w:val="single"/>
        </w:rPr>
        <w:t>%（权重）</w:t>
      </w:r>
      <w:r>
        <w:rPr>
          <w:rFonts w:ascii="Times New Roman" w:hAnsi="Times New Roman" w:eastAsia="宋体"/>
          <w:kern w:val="2"/>
          <w:sz w:val="24"/>
          <w:szCs w:val="24"/>
        </w:rPr>
        <w:t>，按所有评委评分的算术平均值计算，分值四舍五入保留两位小数；报价分值占总分值的比重为</w:t>
      </w:r>
      <w:r>
        <w:rPr>
          <w:rFonts w:ascii="Times New Roman" w:hAnsi="Times New Roman" w:eastAsia="宋体"/>
          <w:b/>
          <w:kern w:val="2"/>
          <w:sz w:val="24"/>
          <w:szCs w:val="24"/>
          <w:u w:val="single"/>
        </w:rPr>
        <w:t xml:space="preserve"> </w:t>
      </w:r>
      <w:r>
        <w:rPr>
          <w:rFonts w:hint="eastAsia" w:ascii="Times New Roman" w:hAnsi="Times New Roman" w:eastAsia="宋体"/>
          <w:b/>
          <w:kern w:val="2"/>
          <w:sz w:val="24"/>
          <w:szCs w:val="24"/>
          <w:u w:val="single"/>
          <w:lang w:val="en-US" w:eastAsia="zh-CN"/>
        </w:rPr>
        <w:t>3</w:t>
      </w:r>
      <w:r>
        <w:rPr>
          <w:rFonts w:ascii="Times New Roman" w:hAnsi="Times New Roman" w:eastAsia="宋体"/>
          <w:b/>
          <w:kern w:val="2"/>
          <w:sz w:val="24"/>
          <w:szCs w:val="24"/>
          <w:u w:val="single"/>
        </w:rPr>
        <w:t xml:space="preserve">0%（权重） </w:t>
      </w:r>
      <w:r>
        <w:rPr>
          <w:rFonts w:ascii="Times New Roman" w:hAnsi="Times New Roman" w:eastAsia="宋体"/>
          <w:kern w:val="2"/>
          <w:sz w:val="24"/>
          <w:szCs w:val="24"/>
        </w:rPr>
        <w:t>，统一采用低价优先法计算直接取</w:t>
      </w:r>
      <w:r>
        <w:rPr>
          <w:rFonts w:ascii="Times New Roman" w:hAnsi="Times New Roman" w:eastAsia="宋体"/>
          <w:color w:val="000000"/>
          <w:kern w:val="2"/>
          <w:sz w:val="24"/>
          <w:szCs w:val="24"/>
        </w:rPr>
        <w:t>得，分值四舍五入保留两位小数。两项得分相加为供应商的综合得分，综合得分最高的供应商推荐为项目第一成交候选人，并出具评审磋商报告。</w:t>
      </w:r>
    </w:p>
    <w:p>
      <w:pPr>
        <w:pStyle w:val="36"/>
        <w:snapToGrid w:val="0"/>
        <w:spacing w:line="360" w:lineRule="auto"/>
        <w:ind w:firstLine="480" w:firstLineChars="200"/>
        <w:contextualSpacing/>
        <w:jc w:val="left"/>
        <w:rPr>
          <w:rFonts w:hint="eastAsia"/>
        </w:rPr>
      </w:pPr>
      <w:r>
        <w:rPr>
          <w:rFonts w:ascii="Times New Roman" w:hAnsi="Times New Roman" w:eastAsia="宋体"/>
          <w:color w:val="000000"/>
          <w:kern w:val="2"/>
          <w:sz w:val="24"/>
          <w:szCs w:val="24"/>
        </w:rPr>
        <w:t>确定成交候选人的特殊情况处理：若总分相同，则按最终报价响应得分高者优先中标；若总分且最终报价响应得分相同，则采取现场抽签的方式确定（投标供应商的抽签顺序分别为各投标供应商递交响应文件签到顺序号）。</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（一）审查响应文件的有效性、完整性、响应程度</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1.供应商资格是否符合；</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2.响应文件是否完整；</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3.响应文件是否恰当地签署；</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4.是否作出实质性响应（是否有实质性响应，只根据响应文件本身，而不寻求外部证据）；</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5.是否有计算错误。</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（二）误差纠正</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1.如果单价汇总金额与总价金额有出入，以单价金额计算结果为准；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2.单价金额小数点有明显错位的，应以总价为准；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3.正本与副本有矛盾的，以正本为准；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4.若文件大写表示的数据与数字表示的有差别，以大写表示的数据为准。</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（三）出现下列情形之一的，作无效响应处理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1.未按照磋商文件规定要求装订、密封、签署、盖章的；</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2.不具备磋商文件中规定的资格要求的；</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3.响应报价超出预算的；</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4.不符合法律、法规和磋商文件中规定的其他实质性要求的。</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（四）出现下列情形之一的，磋商失败</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1.符合条件的供应商或者对磋商文件作实质响应的供应商不足3家的（市场竞争不充分的科研项目，以及需要扶持的科技成果转化项目可以是2家）；</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3.供应商的最后报价均超过了采购预算，采购人不能支付的；</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4.因重大变故，采购任务取消的。</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rPr>
        <w:t>五、评审标准</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（一）商务技术分：</w:t>
      </w:r>
      <w:r>
        <w:rPr>
          <w:rFonts w:hint="eastAsia" w:ascii="宋体" w:hAnsi="宋体" w:eastAsia="宋体" w:cs="宋体"/>
          <w:b/>
          <w:sz w:val="24"/>
          <w:szCs w:val="24"/>
          <w:highlight w:val="none"/>
          <w:lang w:val="en-US" w:eastAsia="zh-CN"/>
        </w:rPr>
        <w:t>70</w:t>
      </w:r>
      <w:r>
        <w:rPr>
          <w:rFonts w:hint="eastAsia" w:ascii="宋体" w:hAnsi="宋体" w:eastAsia="宋体" w:cs="宋体"/>
          <w:b/>
          <w:sz w:val="24"/>
          <w:szCs w:val="24"/>
          <w:highlight w:val="none"/>
        </w:rPr>
        <w:t>分</w:t>
      </w:r>
    </w:p>
    <w:tbl>
      <w:tblPr>
        <w:tblStyle w:val="15"/>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7029"/>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330" w:type="dxa"/>
            <w:vAlign w:val="center"/>
          </w:tcPr>
          <w:p>
            <w:pPr>
              <w:pageBreakBefore w:val="0"/>
              <w:widowControl/>
              <w:shd w:val="clear" w:color="auto" w:fill="FFFFFF"/>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评审项目</w:t>
            </w:r>
          </w:p>
        </w:tc>
        <w:tc>
          <w:tcPr>
            <w:tcW w:w="7029" w:type="dxa"/>
            <w:vAlign w:val="center"/>
          </w:tcPr>
          <w:p>
            <w:pPr>
              <w:pageBreakBefore w:val="0"/>
              <w:widowControl/>
              <w:shd w:val="clear" w:color="auto" w:fill="FFFFFF"/>
              <w:kinsoku/>
              <w:wordWrap/>
              <w:overflowPunct/>
              <w:topLinePunct w:val="0"/>
              <w:bidi w:val="0"/>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评分标准</w:t>
            </w:r>
          </w:p>
        </w:tc>
        <w:tc>
          <w:tcPr>
            <w:tcW w:w="853" w:type="dxa"/>
            <w:vAlign w:val="center"/>
          </w:tcPr>
          <w:p>
            <w:pPr>
              <w:pageBreakBefore w:val="0"/>
              <w:widowControl/>
              <w:shd w:val="clear" w:color="auto" w:fill="FFFFFF"/>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0" w:type="dxa"/>
            <w:vMerge w:val="restart"/>
            <w:vAlign w:val="center"/>
          </w:tcPr>
          <w:p>
            <w:pPr>
              <w:pageBreakBefore w:val="0"/>
              <w:widowControl/>
              <w:shd w:val="clear" w:color="auto" w:fill="FFFFFF"/>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运维服务方案及技术要求响应情况</w:t>
            </w:r>
          </w:p>
        </w:tc>
        <w:tc>
          <w:tcPr>
            <w:tcW w:w="7029" w:type="dxa"/>
            <w:vAlign w:val="center"/>
          </w:tcPr>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根据站点实际情况（如所处位置、道路交通情况、仪器运行情况、常见问题等信息）提供运维服务方案根据方案是否规范、全面、可操作性和有效性强，能否明确承诺维保服务响应时间、故障处理时间、设备维护保修服务和时间等进行</w:t>
            </w:r>
            <w:r>
              <w:rPr>
                <w:rFonts w:hint="eastAsia" w:ascii="宋体" w:hAnsi="宋体" w:eastAsia="宋体" w:cs="宋体"/>
                <w:sz w:val="24"/>
                <w:szCs w:val="24"/>
                <w:highlight w:val="none"/>
                <w:lang w:val="en-US" w:eastAsia="zh-CN"/>
              </w:rPr>
              <w:t>评定。</w:t>
            </w:r>
            <w:r>
              <w:rPr>
                <w:rFonts w:hint="eastAsia" w:ascii="宋体" w:hAnsi="宋体" w:eastAsia="宋体" w:cs="宋体"/>
                <w:sz w:val="24"/>
                <w:szCs w:val="24"/>
                <w:highlight w:val="none"/>
              </w:rPr>
              <w:t>内容完整、详实可行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有很强的针对性得</w:t>
            </w:r>
            <w:r>
              <w:rPr>
                <w:rFonts w:hint="eastAsia" w:ascii="宋体" w:hAnsi="宋体" w:eastAsia="宋体" w:cs="宋体"/>
                <w:sz w:val="24"/>
                <w:szCs w:val="24"/>
                <w:highlight w:val="none"/>
                <w:lang w:val="en-US" w:eastAsia="zh-CN"/>
              </w:rPr>
              <w:t>9-10</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rPr>
              <w:t>内容</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完整、</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详实可行</w:t>
            </w:r>
            <w:r>
              <w:rPr>
                <w:rFonts w:hint="eastAsia" w:ascii="宋体" w:hAnsi="宋体" w:eastAsia="宋体" w:cs="宋体"/>
                <w:sz w:val="24"/>
                <w:szCs w:val="24"/>
                <w:highlight w:val="none"/>
                <w:lang w:eastAsia="zh-CN"/>
              </w:rPr>
              <w:t>，具有针对性得</w:t>
            </w:r>
            <w:r>
              <w:rPr>
                <w:rFonts w:hint="eastAsia" w:ascii="宋体" w:hAnsi="宋体" w:eastAsia="宋体" w:cs="宋体"/>
                <w:sz w:val="24"/>
                <w:szCs w:val="24"/>
                <w:highlight w:val="none"/>
                <w:lang w:val="en-US" w:eastAsia="zh-CN"/>
              </w:rPr>
              <w:t>6-8</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常规、通用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基本符合采购需求得</w:t>
            </w: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方案可行性较差得 2 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未提供相应方案</w:t>
            </w:r>
            <w:r>
              <w:rPr>
                <w:rFonts w:hint="eastAsia" w:ascii="宋体" w:hAnsi="宋体" w:eastAsia="宋体" w:cs="宋体"/>
                <w:sz w:val="24"/>
                <w:szCs w:val="24"/>
                <w:highlight w:val="none"/>
                <w:lang w:val="en-US" w:eastAsia="zh-CN"/>
              </w:rPr>
              <w:t>不得分。</w:t>
            </w:r>
          </w:p>
        </w:tc>
        <w:tc>
          <w:tcPr>
            <w:tcW w:w="853" w:type="dxa"/>
            <w:vAlign w:val="center"/>
          </w:tcPr>
          <w:p>
            <w:pPr>
              <w:pageBreakBefore w:val="0"/>
              <w:widowControl/>
              <w:shd w:val="clear" w:color="auto" w:fill="FFFFFF"/>
              <w:kinsoku/>
              <w:wordWrap/>
              <w:overflowPunct/>
              <w:topLinePunct w:val="0"/>
              <w:bidi w:val="0"/>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0" w:type="dxa"/>
            <w:vMerge w:val="continue"/>
            <w:vAlign w:val="center"/>
          </w:tcPr>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7029" w:type="dxa"/>
            <w:vAlign w:val="center"/>
          </w:tcPr>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根据供应商提供的</w:t>
            </w:r>
            <w:r>
              <w:rPr>
                <w:rFonts w:hint="eastAsia" w:ascii="宋体" w:hAnsi="宋体" w:eastAsia="宋体" w:cs="宋体"/>
                <w:sz w:val="24"/>
                <w:szCs w:val="24"/>
                <w:highlight w:val="none"/>
              </w:rPr>
              <w:t>对现场校准实施方案进行评定。内容完整、详实可行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有很强的针对性得 6 分；内容</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完整、</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详实可行</w:t>
            </w:r>
            <w:r>
              <w:rPr>
                <w:rFonts w:hint="eastAsia" w:ascii="宋体" w:hAnsi="宋体" w:eastAsia="宋体" w:cs="宋体"/>
                <w:sz w:val="24"/>
                <w:szCs w:val="24"/>
                <w:highlight w:val="none"/>
                <w:lang w:eastAsia="zh-CN"/>
              </w:rPr>
              <w:t>，具有针对性得</w:t>
            </w:r>
            <w:r>
              <w:rPr>
                <w:rFonts w:hint="eastAsia" w:ascii="宋体" w:hAnsi="宋体" w:eastAsia="宋体" w:cs="宋体"/>
                <w:sz w:val="24"/>
                <w:szCs w:val="24"/>
                <w:highlight w:val="none"/>
                <w:lang w:val="en-US" w:eastAsia="zh-CN"/>
              </w:rPr>
              <w:t>4-5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常规、通用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基本符合采购需求得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分；方案可行性较差得 2 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未提供相应方案</w:t>
            </w:r>
            <w:r>
              <w:rPr>
                <w:rFonts w:hint="eastAsia" w:ascii="宋体" w:hAnsi="宋体" w:eastAsia="宋体" w:cs="宋体"/>
                <w:sz w:val="24"/>
                <w:szCs w:val="24"/>
                <w:highlight w:val="none"/>
                <w:lang w:val="en-US" w:eastAsia="zh-CN"/>
              </w:rPr>
              <w:t>不得分。</w:t>
            </w:r>
          </w:p>
        </w:tc>
        <w:tc>
          <w:tcPr>
            <w:tcW w:w="853" w:type="dxa"/>
            <w:vAlign w:val="center"/>
          </w:tcPr>
          <w:p>
            <w:pPr>
              <w:pageBreakBefore w:val="0"/>
              <w:widowControl/>
              <w:shd w:val="clear" w:color="auto" w:fill="FFFFFF"/>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330" w:type="dxa"/>
            <w:vMerge w:val="continue"/>
            <w:vAlign w:val="center"/>
          </w:tcPr>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7029" w:type="dxa"/>
            <w:vAlign w:val="center"/>
          </w:tcPr>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根据供应商提供的比对工作方案进行评</w:t>
            </w:r>
            <w:r>
              <w:rPr>
                <w:rFonts w:hint="eastAsia" w:ascii="宋体" w:hAnsi="宋体" w:eastAsia="宋体" w:cs="宋体"/>
                <w:sz w:val="24"/>
                <w:szCs w:val="24"/>
                <w:highlight w:val="none"/>
                <w:lang w:val="en-US" w:eastAsia="zh-CN"/>
              </w:rPr>
              <w:t>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内容完整、详实可行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有很强的针对性得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内容</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完整、</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详实可行</w:t>
            </w:r>
            <w:r>
              <w:rPr>
                <w:rFonts w:hint="eastAsia" w:ascii="宋体" w:hAnsi="宋体" w:eastAsia="宋体" w:cs="宋体"/>
                <w:sz w:val="24"/>
                <w:szCs w:val="24"/>
                <w:highlight w:val="none"/>
                <w:lang w:eastAsia="zh-CN"/>
              </w:rPr>
              <w:t>，具有针对性得</w:t>
            </w:r>
            <w:r>
              <w:rPr>
                <w:rFonts w:hint="eastAsia" w:ascii="宋体" w:hAnsi="宋体" w:eastAsia="宋体" w:cs="宋体"/>
                <w:sz w:val="24"/>
                <w:szCs w:val="24"/>
                <w:highlight w:val="none"/>
                <w:lang w:val="en-US" w:eastAsia="zh-CN"/>
              </w:rPr>
              <w:t>4-5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常规、通用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基本符合采购需求得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方案可行性较差得1分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未提供相应方案</w:t>
            </w:r>
            <w:r>
              <w:rPr>
                <w:rFonts w:hint="eastAsia" w:ascii="宋体" w:hAnsi="宋体" w:eastAsia="宋体" w:cs="宋体"/>
                <w:sz w:val="24"/>
                <w:szCs w:val="24"/>
                <w:highlight w:val="none"/>
                <w:lang w:val="en-US" w:eastAsia="zh-CN"/>
              </w:rPr>
              <w:t>不得分。</w:t>
            </w:r>
          </w:p>
        </w:tc>
        <w:tc>
          <w:tcPr>
            <w:tcW w:w="853" w:type="dxa"/>
            <w:vAlign w:val="center"/>
          </w:tcPr>
          <w:p>
            <w:pPr>
              <w:pageBreakBefore w:val="0"/>
              <w:widowControl/>
              <w:shd w:val="clear" w:color="auto" w:fill="FFFFFF"/>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30" w:type="dxa"/>
            <w:vMerge w:val="continue"/>
            <w:vAlign w:val="center"/>
          </w:tcPr>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7029" w:type="dxa"/>
            <w:vAlign w:val="center"/>
          </w:tcPr>
          <w:p>
            <w:pPr>
              <w:pageBreakBefore w:val="0"/>
              <w:widowControl/>
              <w:shd w:val="clear" w:color="auto" w:fill="FFFFFF"/>
              <w:kinsoku/>
              <w:wordWrap/>
              <w:overflowPunct/>
              <w:topLinePunct w:val="0"/>
              <w:bidi w:val="0"/>
              <w:spacing w:line="360" w:lineRule="auto"/>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根据供应商</w:t>
            </w:r>
            <w:r>
              <w:rPr>
                <w:rFonts w:hint="eastAsia" w:ascii="宋体" w:hAnsi="宋体" w:eastAsia="宋体" w:cs="宋体"/>
                <w:sz w:val="24"/>
                <w:szCs w:val="24"/>
                <w:highlight w:val="none"/>
              </w:rPr>
              <w:t>对硬件保修及更换实施方案进行评定。内容完整、详实可行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有很强的针对性得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分；内容</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完整、</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详实可行</w:t>
            </w:r>
            <w:r>
              <w:rPr>
                <w:rFonts w:hint="eastAsia" w:ascii="宋体" w:hAnsi="宋体" w:eastAsia="宋体" w:cs="宋体"/>
                <w:sz w:val="24"/>
                <w:szCs w:val="24"/>
                <w:highlight w:val="none"/>
                <w:lang w:eastAsia="zh-CN"/>
              </w:rPr>
              <w:t>，具有针对性得</w:t>
            </w: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常规、通用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基本符合采购需求得 </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分；方案可行性较差得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未提供相应方案</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lang w:val="en-US" w:eastAsia="zh-CN"/>
              </w:rPr>
              <w:t>不得分。</w:t>
            </w:r>
          </w:p>
        </w:tc>
        <w:tc>
          <w:tcPr>
            <w:tcW w:w="853" w:type="dxa"/>
            <w:vAlign w:val="center"/>
          </w:tcPr>
          <w:p>
            <w:pPr>
              <w:pageBreakBefore w:val="0"/>
              <w:widowControl/>
              <w:shd w:val="clear" w:color="auto" w:fill="FFFFFF"/>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30" w:type="dxa"/>
            <w:vMerge w:val="continue"/>
            <w:vAlign w:val="center"/>
          </w:tcPr>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7029" w:type="dxa"/>
            <w:vAlign w:val="center"/>
          </w:tcPr>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根据供应商提供的确保站点仪器设备安全有效措施进行评</w:t>
            </w:r>
            <w:r>
              <w:rPr>
                <w:rFonts w:hint="eastAsia" w:ascii="宋体" w:hAnsi="宋体" w:eastAsia="宋体" w:cs="宋体"/>
                <w:sz w:val="24"/>
                <w:szCs w:val="24"/>
                <w:lang w:val="en-US" w:eastAsia="zh-CN"/>
              </w:rPr>
              <w:t>定</w:t>
            </w:r>
            <w:r>
              <w:rPr>
                <w:rFonts w:hint="eastAsia" w:ascii="宋体" w:hAnsi="宋体" w:eastAsia="宋体" w:cs="宋体"/>
                <w:sz w:val="24"/>
                <w:szCs w:val="24"/>
                <w:lang w:eastAsia="zh-CN"/>
              </w:rPr>
              <w:t>。</w:t>
            </w:r>
            <w:r>
              <w:rPr>
                <w:rFonts w:hint="eastAsia" w:ascii="宋体" w:hAnsi="宋体" w:eastAsia="宋体" w:cs="宋体"/>
                <w:sz w:val="24"/>
                <w:szCs w:val="24"/>
              </w:rPr>
              <w:t>考虑周到全面，能够涵盖防盗、防雷各个方面的得</w:t>
            </w:r>
            <w:r>
              <w:rPr>
                <w:rFonts w:hint="eastAsia" w:ascii="宋体" w:hAnsi="宋体" w:eastAsia="宋体" w:cs="宋体"/>
                <w:sz w:val="24"/>
                <w:szCs w:val="24"/>
                <w:lang w:val="en-US" w:eastAsia="zh-CN"/>
              </w:rPr>
              <w:t>4</w:t>
            </w:r>
            <w:r>
              <w:rPr>
                <w:rFonts w:hint="eastAsia" w:ascii="宋体" w:hAnsi="宋体" w:eastAsia="宋体" w:cs="宋体"/>
                <w:sz w:val="24"/>
                <w:szCs w:val="24"/>
              </w:rPr>
              <w:t>分；安全措施较完善但内容有缺失的得1分</w:t>
            </w:r>
            <w:r>
              <w:rPr>
                <w:rFonts w:hint="eastAsia" w:ascii="宋体" w:hAnsi="宋体" w:eastAsia="宋体" w:cs="宋体"/>
                <w:sz w:val="24"/>
                <w:szCs w:val="24"/>
                <w:lang w:eastAsia="zh-CN"/>
              </w:rPr>
              <w:t>；</w:t>
            </w:r>
            <w:r>
              <w:rPr>
                <w:rFonts w:hint="eastAsia" w:ascii="宋体" w:hAnsi="宋体" w:eastAsia="宋体" w:cs="宋体"/>
                <w:sz w:val="24"/>
                <w:szCs w:val="24"/>
              </w:rPr>
              <w:t>安全措施不完善或无安全措施的不得分。</w:t>
            </w:r>
          </w:p>
        </w:tc>
        <w:tc>
          <w:tcPr>
            <w:tcW w:w="853" w:type="dxa"/>
            <w:vAlign w:val="center"/>
          </w:tcPr>
          <w:p>
            <w:pPr>
              <w:pageBreakBefore w:val="0"/>
              <w:widowControl/>
              <w:shd w:val="clear" w:color="auto" w:fill="FFFFFF"/>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30" w:type="dxa"/>
            <w:vMerge w:val="continue"/>
            <w:vAlign w:val="center"/>
          </w:tcPr>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7029" w:type="dxa"/>
            <w:vAlign w:val="center"/>
          </w:tcPr>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对协助</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做好噪声站固定资产管理、应急监测等工作，做好数据安全管理、档案管理等措施及承诺情况，根据方案的完整性，可行性</w:t>
            </w:r>
            <w:r>
              <w:rPr>
                <w:rFonts w:hint="eastAsia" w:ascii="宋体" w:hAnsi="宋体" w:eastAsia="宋体" w:cs="宋体"/>
                <w:sz w:val="24"/>
                <w:szCs w:val="24"/>
                <w:highlight w:val="none"/>
                <w:lang w:val="en-US" w:eastAsia="zh-CN"/>
              </w:rPr>
              <w:t>进行评定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内容完整、详实可行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有很强的针对性</w:t>
            </w:r>
            <w:r>
              <w:rPr>
                <w:rFonts w:hint="eastAsia" w:ascii="宋体" w:hAnsi="宋体" w:eastAsia="宋体" w:cs="宋体"/>
                <w:sz w:val="24"/>
                <w:szCs w:val="24"/>
                <w:highlight w:val="none"/>
                <w:lang w:val="en-US" w:eastAsia="zh-CN"/>
              </w:rPr>
              <w:t>得4分</w:t>
            </w:r>
            <w:r>
              <w:rPr>
                <w:rFonts w:hint="eastAsia" w:ascii="宋体" w:hAnsi="宋体" w:eastAsia="宋体" w:cs="宋体"/>
                <w:sz w:val="24"/>
                <w:szCs w:val="24"/>
                <w:highlight w:val="none"/>
              </w:rPr>
              <w:t>内容</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完整、</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详实可行</w:t>
            </w:r>
            <w:r>
              <w:rPr>
                <w:rFonts w:hint="eastAsia" w:ascii="宋体" w:hAnsi="宋体" w:eastAsia="宋体" w:cs="宋体"/>
                <w:sz w:val="24"/>
                <w:szCs w:val="24"/>
                <w:highlight w:val="none"/>
                <w:lang w:eastAsia="zh-CN"/>
              </w:rPr>
              <w:t>，具有针对性得</w:t>
            </w: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常规、通用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基本符合采购需求2分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方案可行性较差得 1分；未提供相应方案的不得分。</w:t>
            </w:r>
          </w:p>
        </w:tc>
        <w:tc>
          <w:tcPr>
            <w:tcW w:w="853" w:type="dxa"/>
            <w:vAlign w:val="center"/>
          </w:tcPr>
          <w:p>
            <w:pPr>
              <w:pageBreakBefore w:val="0"/>
              <w:widowControl/>
              <w:shd w:val="clear" w:color="auto" w:fill="FFFFFF"/>
              <w:kinsoku/>
              <w:wordWrap/>
              <w:overflowPunct/>
              <w:topLinePunct w:val="0"/>
              <w:bidi w:val="0"/>
              <w:spacing w:line="360"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30" w:type="dxa"/>
            <w:vMerge w:val="continue"/>
            <w:vAlign w:val="center"/>
          </w:tcPr>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7029" w:type="dxa"/>
            <w:vAlign w:val="center"/>
          </w:tcPr>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根据响应文件提供应急方案、突发事件的预警及处理方案等内容进行综合</w:t>
            </w:r>
            <w:r>
              <w:rPr>
                <w:rFonts w:hint="eastAsia" w:ascii="宋体" w:hAnsi="宋体" w:eastAsia="宋体" w:cs="宋体"/>
                <w:sz w:val="24"/>
                <w:szCs w:val="24"/>
                <w:lang w:val="en-US" w:eastAsia="zh-CN"/>
              </w:rPr>
              <w:t>评定</w:t>
            </w:r>
            <w:r>
              <w:rPr>
                <w:rFonts w:hint="eastAsia" w:ascii="宋体" w:hAnsi="宋体" w:eastAsia="宋体" w:cs="宋体"/>
                <w:sz w:val="24"/>
                <w:szCs w:val="24"/>
              </w:rPr>
              <w:t>，内容包括临时停电、节假日、重大活动或设备被破坏等情况的预防和应急措施</w:t>
            </w:r>
            <w:r>
              <w:rPr>
                <w:rFonts w:hint="eastAsia" w:ascii="宋体" w:hAnsi="宋体" w:eastAsia="宋体" w:cs="宋体"/>
                <w:sz w:val="24"/>
                <w:szCs w:val="24"/>
                <w:lang w:eastAsia="zh-CN"/>
              </w:rPr>
              <w:t>。</w:t>
            </w:r>
            <w:r>
              <w:rPr>
                <w:rFonts w:hint="eastAsia" w:ascii="宋体" w:hAnsi="宋体" w:eastAsia="宋体" w:cs="宋体"/>
                <w:sz w:val="24"/>
                <w:szCs w:val="24"/>
              </w:rPr>
              <w:t>内容全面、措施合理、应急响应快、处理过程科学合理的得5分，良好得3</w:t>
            </w:r>
            <w:r>
              <w:rPr>
                <w:rFonts w:hint="eastAsia" w:ascii="宋体" w:hAnsi="宋体" w:eastAsia="宋体" w:cs="宋体"/>
                <w:sz w:val="24"/>
                <w:szCs w:val="24"/>
                <w:lang w:val="en-US" w:eastAsia="zh-CN"/>
              </w:rPr>
              <w:t>-4</w:t>
            </w:r>
            <w:r>
              <w:rPr>
                <w:rFonts w:hint="eastAsia" w:ascii="宋体" w:hAnsi="宋体" w:eastAsia="宋体" w:cs="宋体"/>
                <w:sz w:val="24"/>
                <w:szCs w:val="24"/>
              </w:rPr>
              <w:t>分，一般的得1</w:t>
            </w:r>
            <w:r>
              <w:rPr>
                <w:rFonts w:hint="eastAsia" w:ascii="宋体" w:hAnsi="宋体" w:eastAsia="宋体" w:cs="宋体"/>
                <w:sz w:val="24"/>
                <w:szCs w:val="24"/>
                <w:lang w:val="en-US" w:eastAsia="zh-CN"/>
              </w:rPr>
              <w:t>-2分</w:t>
            </w:r>
            <w:r>
              <w:rPr>
                <w:rFonts w:hint="eastAsia" w:ascii="宋体" w:hAnsi="宋体" w:eastAsia="宋体" w:cs="宋体"/>
                <w:sz w:val="24"/>
                <w:szCs w:val="24"/>
              </w:rPr>
              <w:t>，未提供应急方案或存在重大缺漏的不得分。</w:t>
            </w:r>
          </w:p>
        </w:tc>
        <w:tc>
          <w:tcPr>
            <w:tcW w:w="853" w:type="dxa"/>
            <w:vAlign w:val="center"/>
          </w:tcPr>
          <w:p>
            <w:pPr>
              <w:pageBreakBefore w:val="0"/>
              <w:widowControl/>
              <w:shd w:val="clear" w:color="auto" w:fill="FFFFFF"/>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30" w:type="dxa"/>
            <w:vAlign w:val="center"/>
          </w:tcPr>
          <w:p>
            <w:pPr>
              <w:pageBreakBefore w:val="0"/>
              <w:widowControl/>
              <w:shd w:val="clear" w:color="auto" w:fill="FFFFFF"/>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人员</w:t>
            </w:r>
            <w:r>
              <w:rPr>
                <w:rFonts w:hint="eastAsia" w:ascii="宋体" w:hAnsi="宋体" w:eastAsia="宋体" w:cs="宋体"/>
                <w:sz w:val="24"/>
                <w:szCs w:val="24"/>
                <w:lang w:val="en-US" w:eastAsia="zh-CN"/>
              </w:rPr>
              <w:t>及车辆</w:t>
            </w:r>
            <w:r>
              <w:rPr>
                <w:rFonts w:hint="eastAsia" w:ascii="宋体" w:hAnsi="宋体" w:eastAsia="宋体" w:cs="宋体"/>
                <w:sz w:val="24"/>
                <w:szCs w:val="24"/>
              </w:rPr>
              <w:t>配备情况</w:t>
            </w:r>
          </w:p>
        </w:tc>
        <w:tc>
          <w:tcPr>
            <w:tcW w:w="7029" w:type="dxa"/>
            <w:vAlign w:val="center"/>
          </w:tcPr>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供应商应为本项目配备对“噪声自动监测站运维服务项目”运维经验较丰富技术人员，所配技术人员中具备环境监测相关专业背景的</w:t>
            </w:r>
            <w:r>
              <w:rPr>
                <w:rFonts w:hint="eastAsia" w:ascii="宋体" w:hAnsi="宋体" w:eastAsia="宋体" w:cs="宋体"/>
                <w:sz w:val="24"/>
                <w:szCs w:val="24"/>
                <w:lang w:val="en-US" w:eastAsia="zh-CN"/>
              </w:rPr>
              <w:t>专</w:t>
            </w:r>
            <w:r>
              <w:rPr>
                <w:rFonts w:hint="eastAsia" w:ascii="宋体" w:hAnsi="宋体" w:eastAsia="宋体" w:cs="宋体"/>
                <w:sz w:val="24"/>
                <w:szCs w:val="24"/>
              </w:rPr>
              <w:t>科以上学历，并具有2年以上噪声站运维经验，否则本项不得分。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为本项目配备的运维人员持有国家环境监测总站颁发的相关证书得3分；为本项目配备的运维专业人员持有省级环境监测部门颁发的相关证书得2分。本项最高得5分（同一运维人员不重复得分）。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注：需提供技术人员相关机构的培训合格证明、劳动合同、</w:t>
            </w:r>
            <w:r>
              <w:rPr>
                <w:rFonts w:hint="eastAsia" w:ascii="宋体" w:hAnsi="宋体" w:eastAsia="宋体" w:cs="宋体"/>
                <w:sz w:val="24"/>
                <w:szCs w:val="24"/>
                <w:lang w:val="en-US" w:eastAsia="zh-CN"/>
              </w:rPr>
              <w:t>近1个月</w:t>
            </w:r>
            <w:r>
              <w:rPr>
                <w:rFonts w:hint="eastAsia" w:ascii="宋体" w:hAnsi="宋体" w:eastAsia="宋体" w:cs="宋体"/>
                <w:sz w:val="24"/>
                <w:szCs w:val="24"/>
              </w:rPr>
              <w:t>社保缴纳证明、身份证、学历证书、上岗证等复印件，原件放入原件包中备查，否则不得分。未在本单位交纳社保的不计为本单位技术人员。</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供应商需配备一定运维专用车辆和工具等（需提供行驶证或租车协议等证明材料），保障本地化服务能力。酌情打分，最高得2分。</w:t>
            </w:r>
          </w:p>
        </w:tc>
        <w:tc>
          <w:tcPr>
            <w:tcW w:w="853" w:type="dxa"/>
            <w:vAlign w:val="center"/>
          </w:tcPr>
          <w:p>
            <w:pPr>
              <w:pageBreakBefore w:val="0"/>
              <w:widowControl/>
              <w:shd w:val="clear" w:color="auto" w:fill="FFFFFF"/>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30" w:type="dxa"/>
            <w:vMerge w:val="restart"/>
            <w:vAlign w:val="center"/>
          </w:tcPr>
          <w:p>
            <w:pPr>
              <w:pageBreakBefore w:val="0"/>
              <w:widowControl/>
              <w:shd w:val="clear" w:color="auto" w:fill="FFFFFF"/>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企业资质、信誉、业绩</w:t>
            </w:r>
          </w:p>
        </w:tc>
        <w:tc>
          <w:tcPr>
            <w:tcW w:w="7029" w:type="dxa"/>
            <w:vAlign w:val="center"/>
          </w:tcPr>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供应商提供ISO9001质量管理体系认证证书、ISO14001环境管理体系认证证书、ISO45001职业健康安全管理体系认证证书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ISO27001</w:t>
            </w:r>
            <w:r>
              <w:rPr>
                <w:rFonts w:hint="eastAsia" w:ascii="宋体" w:hAnsi="宋体" w:eastAsia="宋体" w:cs="宋体"/>
                <w:sz w:val="24"/>
                <w:szCs w:val="24"/>
              </w:rPr>
              <w:t>信息安全管理体系认证证书的有一项得1分。本项最高</w:t>
            </w:r>
            <w:r>
              <w:rPr>
                <w:rFonts w:hint="eastAsia" w:ascii="宋体" w:hAnsi="宋体" w:eastAsia="宋体" w:cs="宋体"/>
                <w:sz w:val="24"/>
                <w:szCs w:val="24"/>
                <w:lang w:val="en-US" w:eastAsia="zh-CN"/>
              </w:rPr>
              <w:t>4</w:t>
            </w:r>
            <w:r>
              <w:rPr>
                <w:rFonts w:hint="eastAsia" w:ascii="宋体" w:hAnsi="宋体" w:eastAsia="宋体" w:cs="宋体"/>
                <w:sz w:val="24"/>
                <w:szCs w:val="24"/>
              </w:rPr>
              <w:t>分。（证书须在有效期内且非暂停状态，需提供证书复印件并加盖投标人公章，不提供则相应项不得分）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供应商具备中国电子工业标准化技术协会信息技术服务分会颁发的运行维护业务领域的ITSS信息技术服务标准符合性证书的得2分。（投标文件中需提供相证书复印件并加盖公章，未提供的不得分）</w:t>
            </w:r>
          </w:p>
        </w:tc>
        <w:tc>
          <w:tcPr>
            <w:tcW w:w="853" w:type="dxa"/>
            <w:vAlign w:val="center"/>
          </w:tcPr>
          <w:p>
            <w:pPr>
              <w:pageBreakBefore w:val="0"/>
              <w:widowControl/>
              <w:shd w:val="clear" w:color="auto" w:fill="FFFFFF"/>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30" w:type="dxa"/>
            <w:vMerge w:val="continue"/>
            <w:vAlign w:val="center"/>
          </w:tcPr>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7029" w:type="dxa"/>
            <w:vAlign w:val="center"/>
          </w:tcPr>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自有CMA实验室且公开检测能力认证范围包含本项目监测参数的得</w:t>
            </w:r>
            <w:r>
              <w:rPr>
                <w:rFonts w:hint="eastAsia" w:ascii="宋体" w:hAnsi="宋体" w:eastAsia="宋体" w:cs="宋体"/>
                <w:sz w:val="24"/>
                <w:szCs w:val="24"/>
                <w:lang w:val="en-US" w:eastAsia="zh-CN"/>
              </w:rPr>
              <w:t>5</w:t>
            </w:r>
            <w:r>
              <w:rPr>
                <w:rFonts w:hint="eastAsia" w:ascii="宋体" w:hAnsi="宋体" w:eastAsia="宋体" w:cs="宋体"/>
                <w:sz w:val="24"/>
                <w:szCs w:val="24"/>
              </w:rPr>
              <w:t>分，委托第三方CMA实验室（提供的CMA资质认定证书上单位名称和投标人不一致的，均视为委托实验室）且公开检测能力认证范围包含本项目监测参数的得</w:t>
            </w:r>
            <w:r>
              <w:rPr>
                <w:rFonts w:hint="eastAsia" w:ascii="宋体" w:hAnsi="宋体" w:eastAsia="宋体" w:cs="宋体"/>
                <w:sz w:val="24"/>
                <w:szCs w:val="24"/>
                <w:lang w:val="en-US" w:eastAsia="zh-CN"/>
              </w:rPr>
              <w:t>3</w:t>
            </w:r>
            <w:r>
              <w:rPr>
                <w:rFonts w:hint="eastAsia" w:ascii="宋体" w:hAnsi="宋体" w:eastAsia="宋体" w:cs="宋体"/>
                <w:sz w:val="24"/>
                <w:szCs w:val="24"/>
              </w:rPr>
              <w:t>分；没有实验室且未委托实验室的不得分（须提供实验室资质证书及检测指标的计量认证证书</w:t>
            </w:r>
            <w:r>
              <w:rPr>
                <w:rFonts w:hint="eastAsia" w:ascii="宋体" w:hAnsi="宋体" w:eastAsia="宋体" w:cs="宋体"/>
                <w:sz w:val="24"/>
                <w:szCs w:val="24"/>
                <w:lang w:eastAsia="zh-CN"/>
              </w:rPr>
              <w:t>复印件</w:t>
            </w:r>
            <w:r>
              <w:rPr>
                <w:rFonts w:hint="eastAsia" w:ascii="宋体" w:hAnsi="宋体" w:eastAsia="宋体" w:cs="宋体"/>
                <w:sz w:val="24"/>
                <w:szCs w:val="24"/>
              </w:rPr>
              <w:t>加盖公章，否则不予计分）。</w:t>
            </w:r>
          </w:p>
        </w:tc>
        <w:tc>
          <w:tcPr>
            <w:tcW w:w="853" w:type="dxa"/>
            <w:vAlign w:val="center"/>
          </w:tcPr>
          <w:p>
            <w:pPr>
              <w:pageBreakBefore w:val="0"/>
              <w:widowControl/>
              <w:shd w:val="clear" w:color="auto" w:fill="FFFFFF"/>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jc w:val="center"/>
        </w:trPr>
        <w:tc>
          <w:tcPr>
            <w:tcW w:w="1330" w:type="dxa"/>
            <w:vMerge w:val="continue"/>
            <w:vAlign w:val="center"/>
          </w:tcPr>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7029" w:type="dxa"/>
            <w:vAlign w:val="center"/>
          </w:tcPr>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cs="宋体" w:eastAsiaTheme="minorEastAsia"/>
                <w:sz w:val="24"/>
                <w:szCs w:val="24"/>
                <w:lang w:eastAsia="zh-CN"/>
              </w:rPr>
            </w:pPr>
            <w:r>
              <w:rPr>
                <w:rFonts w:hint="eastAsia"/>
                <w:color w:val="auto"/>
                <w:szCs w:val="21"/>
              </w:rPr>
              <w:t>201</w:t>
            </w:r>
            <w:r>
              <w:rPr>
                <w:rFonts w:hint="eastAsia"/>
                <w:color w:val="auto"/>
                <w:szCs w:val="21"/>
                <w:lang w:val="en-US" w:eastAsia="zh-CN"/>
              </w:rPr>
              <w:t>9</w:t>
            </w:r>
            <w:r>
              <w:rPr>
                <w:rFonts w:hint="eastAsia"/>
                <w:color w:val="auto"/>
                <w:szCs w:val="21"/>
              </w:rPr>
              <w:t>年</w:t>
            </w:r>
            <w:r>
              <w:rPr>
                <w:rFonts w:hint="eastAsia"/>
                <w:color w:val="auto"/>
                <w:szCs w:val="21"/>
                <w:lang w:val="en-US" w:eastAsia="zh-CN"/>
              </w:rPr>
              <w:t>1月</w:t>
            </w:r>
            <w:r>
              <w:rPr>
                <w:rFonts w:hint="eastAsia"/>
                <w:color w:val="auto"/>
                <w:szCs w:val="21"/>
              </w:rPr>
              <w:t>以来业绩情况：</w:t>
            </w:r>
            <w:r>
              <w:rPr>
                <w:color w:val="auto"/>
                <w:szCs w:val="21"/>
              </w:rPr>
              <w:t>响</w:t>
            </w:r>
            <w:r>
              <w:rPr>
                <w:szCs w:val="21"/>
              </w:rPr>
              <w:t>应供应商</w:t>
            </w:r>
            <w:r>
              <w:rPr>
                <w:rFonts w:hint="eastAsia"/>
                <w:szCs w:val="21"/>
              </w:rPr>
              <w:t>承担过噪声自动站</w:t>
            </w:r>
            <w:r>
              <w:rPr>
                <w:szCs w:val="21"/>
              </w:rPr>
              <w:t>运行维护</w:t>
            </w:r>
            <w:r>
              <w:rPr>
                <w:rFonts w:hint="eastAsia"/>
                <w:szCs w:val="21"/>
              </w:rPr>
              <w:t>项目的，有1个得</w:t>
            </w:r>
            <w:r>
              <w:rPr>
                <w:rFonts w:hint="eastAsia"/>
                <w:szCs w:val="21"/>
                <w:lang w:val="en-US" w:eastAsia="zh-CN"/>
              </w:rPr>
              <w:t>1</w:t>
            </w:r>
            <w:r>
              <w:rPr>
                <w:rFonts w:hint="eastAsia"/>
                <w:szCs w:val="21"/>
              </w:rPr>
              <w:t>分，最高得</w:t>
            </w:r>
            <w:r>
              <w:rPr>
                <w:rFonts w:hint="eastAsia"/>
                <w:szCs w:val="21"/>
                <w:lang w:val="en-US" w:eastAsia="zh-CN"/>
              </w:rPr>
              <w:t>5</w:t>
            </w:r>
            <w:r>
              <w:rPr>
                <w:rFonts w:hint="eastAsia"/>
                <w:szCs w:val="21"/>
              </w:rPr>
              <w:t>分</w:t>
            </w:r>
            <w:r>
              <w:rPr>
                <w:rFonts w:hint="eastAsia"/>
                <w:szCs w:val="21"/>
                <w:lang w:eastAsia="zh-CN"/>
              </w:rPr>
              <w:t>；</w:t>
            </w:r>
            <w:r>
              <w:rPr>
                <w:rFonts w:hint="eastAsia"/>
                <w:szCs w:val="21"/>
              </w:rPr>
              <w:t>运行维护项目受</w:t>
            </w:r>
            <w:r>
              <w:rPr>
                <w:szCs w:val="21"/>
              </w:rPr>
              <w:t>业主认可</w:t>
            </w:r>
            <w:r>
              <w:rPr>
                <w:rFonts w:hint="eastAsia"/>
                <w:szCs w:val="21"/>
              </w:rPr>
              <w:t>好评的</w:t>
            </w:r>
            <w:r>
              <w:rPr>
                <w:szCs w:val="21"/>
              </w:rPr>
              <w:t>，每提供一个</w:t>
            </w:r>
            <w:r>
              <w:rPr>
                <w:rFonts w:hint="eastAsia"/>
                <w:szCs w:val="21"/>
                <w:lang w:eastAsia="zh-CN"/>
              </w:rPr>
              <w:t>加</w:t>
            </w:r>
            <w:r>
              <w:rPr>
                <w:rFonts w:hint="eastAsia"/>
                <w:szCs w:val="21"/>
                <w:lang w:val="en-US" w:eastAsia="zh-CN"/>
              </w:rPr>
              <w:t>1</w:t>
            </w:r>
            <w:r>
              <w:rPr>
                <w:szCs w:val="21"/>
              </w:rPr>
              <w:t>分，最高</w:t>
            </w:r>
            <w:r>
              <w:rPr>
                <w:rFonts w:hint="eastAsia"/>
                <w:szCs w:val="21"/>
                <w:lang w:eastAsia="zh-CN"/>
              </w:rPr>
              <w:t>加</w:t>
            </w:r>
            <w:r>
              <w:rPr>
                <w:rFonts w:hint="eastAsia"/>
                <w:szCs w:val="21"/>
                <w:lang w:val="en-US" w:eastAsia="zh-CN"/>
              </w:rPr>
              <w:t>5</w:t>
            </w:r>
            <w:r>
              <w:rPr>
                <w:szCs w:val="21"/>
              </w:rPr>
              <w:t>分。（提供合同复印件和业主</w:t>
            </w:r>
            <w:r>
              <w:rPr>
                <w:rFonts w:hint="eastAsia"/>
                <w:szCs w:val="21"/>
              </w:rPr>
              <w:t>满意好评等</w:t>
            </w:r>
            <w:r>
              <w:rPr>
                <w:szCs w:val="21"/>
              </w:rPr>
              <w:t>证明材料</w:t>
            </w:r>
            <w:r>
              <w:rPr>
                <w:rFonts w:hint="eastAsia"/>
                <w:szCs w:val="21"/>
                <w:lang w:eastAsia="zh-CN"/>
              </w:rPr>
              <w:t>，加盖公章，业绩以合同签订时间为准，原件备查）</w:t>
            </w:r>
          </w:p>
        </w:tc>
        <w:tc>
          <w:tcPr>
            <w:tcW w:w="853" w:type="dxa"/>
            <w:vAlign w:val="center"/>
          </w:tcPr>
          <w:p>
            <w:pPr>
              <w:pageBreakBefore w:val="0"/>
              <w:widowControl/>
              <w:shd w:val="clear" w:color="auto" w:fill="FFFFFF"/>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330" w:type="dxa"/>
            <w:vAlign w:val="center"/>
          </w:tcPr>
          <w:p>
            <w:pPr>
              <w:pageBreakBefore w:val="0"/>
              <w:widowControl/>
              <w:shd w:val="clear" w:color="auto" w:fill="FFFFFF"/>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响应文件的完整性、规范性</w:t>
            </w:r>
          </w:p>
        </w:tc>
        <w:tc>
          <w:tcPr>
            <w:tcW w:w="7029" w:type="dxa"/>
            <w:vAlign w:val="center"/>
          </w:tcPr>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根据响应文件的完整性、规范性进行打分，按采购文件规定的要求装订得0.5分，按采购文件规定提供所有内容得0.5分，有响应文件目录、编页码得0.5分，有利于评委评审、查阅的得0.5分。</w:t>
            </w:r>
          </w:p>
        </w:tc>
        <w:tc>
          <w:tcPr>
            <w:tcW w:w="853" w:type="dxa"/>
            <w:vAlign w:val="center"/>
          </w:tcPr>
          <w:p>
            <w:pPr>
              <w:pageBreakBefore w:val="0"/>
              <w:widowControl/>
              <w:shd w:val="clear" w:color="auto" w:fill="FFFFFF"/>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2分</w:t>
            </w:r>
          </w:p>
        </w:tc>
      </w:tr>
    </w:tbl>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p>
    <w:p>
      <w:pPr>
        <w:pageBreakBefore w:val="0"/>
        <w:widowControl/>
        <w:kinsoku/>
        <w:wordWrap/>
        <w:overflowPunct/>
        <w:topLinePunct w:val="0"/>
        <w:bidi w:val="0"/>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（二）价格分：</w:t>
      </w:r>
      <w:r>
        <w:rPr>
          <w:rFonts w:hint="eastAsia" w:ascii="宋体" w:hAnsi="宋体" w:eastAsia="宋体" w:cs="宋体"/>
          <w:b/>
          <w:sz w:val="24"/>
          <w:szCs w:val="24"/>
          <w:highlight w:val="none"/>
          <w:lang w:val="en-US" w:eastAsia="zh-CN"/>
        </w:rPr>
        <w:t>30</w:t>
      </w:r>
      <w:r>
        <w:rPr>
          <w:rFonts w:hint="eastAsia" w:ascii="宋体" w:hAnsi="宋体" w:eastAsia="宋体" w:cs="宋体"/>
          <w:b/>
          <w:sz w:val="24"/>
          <w:szCs w:val="24"/>
          <w:highlight w:val="none"/>
        </w:rPr>
        <w:t>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综合评分法中的价格分统一采用</w:t>
      </w:r>
      <w:r>
        <w:rPr>
          <w:rFonts w:hint="eastAsia" w:ascii="宋体" w:hAnsi="宋体" w:eastAsia="宋体" w:cs="宋体"/>
          <w:b/>
          <w:bCs/>
          <w:sz w:val="24"/>
          <w:szCs w:val="24"/>
          <w:highlight w:val="none"/>
        </w:rPr>
        <w:t>低价优先法</w:t>
      </w:r>
      <w:r>
        <w:rPr>
          <w:rFonts w:hint="eastAsia" w:ascii="宋体" w:hAnsi="宋体" w:eastAsia="宋体" w:cs="宋体"/>
          <w:sz w:val="24"/>
          <w:szCs w:val="24"/>
          <w:highlight w:val="none"/>
        </w:rPr>
        <w:t>计算，即满足磋商文件要求且最后报价最低的供应商的价格为磋商基准价，其价格分为满分。其他供应商的价格分统一按照下列公式计算：</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磋商报价得分=（磋商基准价/最后磋商报价）×</w:t>
      </w:r>
      <w:r>
        <w:rPr>
          <w:rFonts w:hint="eastAsia" w:ascii="宋体" w:hAnsi="宋体" w:eastAsia="宋体" w:cs="宋体"/>
          <w:b/>
          <w:bCs/>
          <w:sz w:val="24"/>
          <w:szCs w:val="24"/>
          <w:highlight w:val="none"/>
          <w:lang w:val="en-US" w:eastAsia="zh-CN"/>
        </w:rPr>
        <w:t>30%</w:t>
      </w:r>
      <w:r>
        <w:rPr>
          <w:rFonts w:hint="eastAsia" w:ascii="宋体" w:hAnsi="宋体" w:eastAsia="宋体" w:cs="宋体"/>
          <w:b/>
          <w:bCs/>
          <w:sz w:val="24"/>
          <w:szCs w:val="24"/>
          <w:highlight w:val="none"/>
        </w:rPr>
        <w:t>×100</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项目评审过程中，不得去掉最后报价中的最高报价和最低报价。</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keepNext w:val="0"/>
        <w:keepLines w:val="0"/>
        <w:pageBreakBefore w:val="0"/>
        <w:widowControl w:val="0"/>
        <w:kinsoku/>
        <w:wordWrap/>
        <w:overflowPunct/>
        <w:topLinePunct w:val="0"/>
        <w:bidi w:val="0"/>
        <w:adjustRightInd w:val="0"/>
        <w:snapToGrid w:val="0"/>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rPr>
        <w:t>六、本项目为专门面向中小企业采购，供应商应为中小微企业、监狱企业、残疾人福利性单位。不执行价格扣除优惠政策</w:t>
      </w:r>
      <w:r>
        <w:rPr>
          <w:rFonts w:hint="eastAsia" w:ascii="宋体" w:hAnsi="宋体" w:eastAsia="宋体" w:cs="宋体"/>
          <w:bCs/>
          <w:sz w:val="24"/>
          <w:szCs w:val="24"/>
        </w:rPr>
        <w:t>。</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七、变更为其他方式采购的情形</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提交响应文件截止时间时参加磋商的供应商不足3家的，及磋商中出现符合专业条件的供应商或对磋商文件作实质响应的供应商不足3家（规定可以2家的情形除外），除采购任务取消外，采购人报告市财政部门或上级主管部门，视情采取其他方式采购。磋商文件中对供应商资质、技术等要求，将作为其他方式采购的基本要求和依据。原已经参加磋商并符合要求的供应商，根据自愿原则，参加其他方式采购。</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八、出现下列情形之一的，竞争性磋商采购活动终止，发布项目终止公告并说明原因，重新开展采购活动：</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（一）因情况变化，不再符合规定的竞争性磋商采购方式适用情形的；</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（三）在采购过程中符合要求的供应商或者报价未超过采购预算的供应商不足3家的（市场竞争不充分的科研项目，以及需要扶持的科技成果转化项目除外）。</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九、成交通知</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成交结果在</w:t>
      </w:r>
      <w:r>
        <w:rPr>
          <w:kern w:val="0"/>
          <w:sz w:val="24"/>
        </w:rPr>
        <w:t>南通市生态环境局</w:t>
      </w:r>
      <w:r>
        <w:rPr>
          <w:rFonts w:hint="eastAsia"/>
          <w:kern w:val="0"/>
          <w:sz w:val="24"/>
          <w:lang w:eastAsia="zh-CN"/>
        </w:rPr>
        <w:t>官</w:t>
      </w:r>
      <w:r>
        <w:rPr>
          <w:rFonts w:hint="eastAsia" w:ascii="宋体" w:hAnsi="宋体" w:eastAsia="宋体" w:cs="宋体"/>
          <w:sz w:val="24"/>
          <w:szCs w:val="24"/>
          <w:highlight w:val="none"/>
          <w:u w:val="none"/>
        </w:rPr>
        <w:t>网</w:t>
      </w:r>
      <w:r>
        <w:rPr>
          <w:rFonts w:hint="eastAsia" w:ascii="宋体" w:hAnsi="宋体" w:eastAsia="宋体" w:cs="宋体"/>
          <w:sz w:val="24"/>
          <w:szCs w:val="24"/>
        </w:rPr>
        <w:t>公示，公示期限为1个工作日。《成交通知书》一经发出，采购人改变成交结果，或者成交供应商放弃成交的，各自承担相应的法律责任。《成交通知书》是采购合同的组成部分。</w:t>
      </w:r>
      <w:r>
        <w:rPr>
          <w:rFonts w:hint="eastAsia" w:ascii="宋体" w:hAnsi="宋体" w:eastAsia="宋体" w:cs="宋体"/>
          <w:sz w:val="24"/>
          <w:szCs w:val="24"/>
        </w:rPr>
        <w:br w:type="page"/>
      </w:r>
    </w:p>
    <w:p>
      <w:pPr>
        <w:pStyle w:val="5"/>
        <w:pageBreakBefore w:val="0"/>
        <w:kinsoku/>
        <w:wordWrap/>
        <w:overflowPunct/>
        <w:topLinePunct w:val="0"/>
        <w:bidi w:val="0"/>
        <w:spacing w:before="159" w:beforeLines="50" w:after="159" w:afterLines="50" w:line="360" w:lineRule="auto"/>
        <w:jc w:val="center"/>
        <w:textAlignment w:val="auto"/>
        <w:rPr>
          <w:rFonts w:hint="eastAsia" w:ascii="宋体" w:hAnsi="宋体" w:eastAsia="宋体" w:cs="宋体"/>
          <w:sz w:val="36"/>
          <w:szCs w:val="36"/>
        </w:rPr>
      </w:pPr>
      <w:r>
        <w:rPr>
          <w:rFonts w:hint="eastAsia" w:ascii="宋体" w:hAnsi="宋体" w:eastAsia="宋体" w:cs="宋体"/>
          <w:sz w:val="36"/>
          <w:szCs w:val="36"/>
        </w:rPr>
        <w:t>第五部分 合同签订与验收付款</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一、成交供应商和采购人在接到《成交通知书》后30日</w:t>
      </w:r>
      <w:r>
        <w:rPr>
          <w:rFonts w:hint="eastAsia" w:ascii="宋体" w:hAnsi="宋体" w:eastAsia="宋体" w:cs="宋体"/>
          <w:b/>
          <w:bCs/>
          <w:sz w:val="24"/>
          <w:szCs w:val="24"/>
        </w:rPr>
        <w:t>（疫情防控期间按照15日执行）</w:t>
      </w:r>
      <w:r>
        <w:rPr>
          <w:rFonts w:hint="eastAsia" w:ascii="宋体" w:hAnsi="宋体" w:eastAsia="宋体" w:cs="宋体"/>
          <w:sz w:val="24"/>
          <w:szCs w:val="24"/>
        </w:rPr>
        <w:t>内按照采购文件确定的事项签订政府采购合同。所签合同不得对采购文件作实质性修改。采购人不得向成交供应商提出不合理的要求作为签订合同的条件，不得与成交供应商私下订立背离采购文件实质性内容的协议。</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采购人按合同约定积极配合成交供应商履约，成交供应商履约到位后，请以书面形式向采购单位提出验收申请，采购人接到申请后原则上在5个工作日内及时组织相关专业技术人员，必要时邀请行业专家、质检等部门共同参与验收，并出具验收报告，验收合格的原则上5个工作日内支付相应款项。</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四、成交供应商出现违约情形，应当及时纠正或补偿；造成损失的，按合同约定追究违约责任；发现有假冒、伪劣、走私产品、商业贿赂等违法情形的，应由采购人移交市场监督、公安等行政执法部门依法查处。</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五、不响应付款方式的，视同响应文件无效处理。</w:t>
      </w:r>
    </w:p>
    <w:p>
      <w:pPr>
        <w:snapToGrid w:val="0"/>
        <w:spacing w:line="360" w:lineRule="auto"/>
        <w:ind w:firstLine="480" w:firstLineChars="200"/>
        <w:jc w:val="left"/>
        <w:rPr>
          <w:color w:val="000000"/>
          <w:sz w:val="24"/>
        </w:rPr>
      </w:pPr>
      <w:r>
        <w:rPr>
          <w:color w:val="000000"/>
          <w:sz w:val="24"/>
        </w:rPr>
        <w:t>款项由采购人按相关财务支付规定办理支付手续。不得故意拖延支付时间。</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b/>
          <w:bCs/>
          <w:sz w:val="24"/>
          <w:szCs w:val="24"/>
        </w:rPr>
      </w:pPr>
      <w:r>
        <w:rPr>
          <w:color w:val="000000"/>
          <w:sz w:val="24"/>
        </w:rPr>
        <w:t>每次付款前，成交供应商须按采购人要求提供正式发票。</w:t>
      </w:r>
      <w:r>
        <w:rPr>
          <w:rFonts w:hint="eastAsia" w:ascii="宋体" w:hAnsi="宋体" w:eastAsia="宋体" w:cs="宋体"/>
          <w:b/>
          <w:bCs/>
          <w:sz w:val="24"/>
          <w:szCs w:val="24"/>
        </w:rPr>
        <w:br w:type="page"/>
      </w:r>
    </w:p>
    <w:p>
      <w:pPr>
        <w:pStyle w:val="5"/>
        <w:pageBreakBefore w:val="0"/>
        <w:kinsoku/>
        <w:wordWrap/>
        <w:overflowPunct/>
        <w:topLinePunct w:val="0"/>
        <w:bidi w:val="0"/>
        <w:spacing w:before="159" w:beforeLines="50" w:after="159" w:afterLines="50" w:line="360" w:lineRule="auto"/>
        <w:jc w:val="center"/>
        <w:textAlignment w:val="auto"/>
        <w:rPr>
          <w:rFonts w:hint="eastAsia" w:ascii="宋体" w:hAnsi="宋体" w:eastAsia="宋体" w:cs="宋体"/>
          <w:sz w:val="36"/>
          <w:szCs w:val="36"/>
        </w:rPr>
      </w:pPr>
      <w:r>
        <w:rPr>
          <w:rFonts w:hint="eastAsia" w:ascii="宋体" w:hAnsi="宋体" w:eastAsia="宋体" w:cs="宋体"/>
          <w:sz w:val="36"/>
          <w:szCs w:val="36"/>
        </w:rPr>
        <w:t>第六部分 质疑提出和处理</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一、质疑的提出</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1.质疑人必须是直接参加本次磋商活动的当事人。</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2.领取磋商文件的供应商应根据第二部分“磋商须知”中第一点第1项的约定提出疑问；质疑提出的有效时限，见《中华人民共和国政府采购法实施条例》第五十三条。</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在磋商过程中，凡主持人或磋商小组明确提出须由供应商确认的事项，供应商当场无异议的，事后不得提出质疑。</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3.提出质疑时，必须坚持</w:t>
      </w:r>
      <w:r>
        <w:rPr>
          <w:rFonts w:hint="eastAsia" w:ascii="宋体" w:hAnsi="宋体" w:eastAsia="宋体" w:cs="宋体"/>
          <w:b/>
          <w:sz w:val="24"/>
          <w:szCs w:val="24"/>
        </w:rPr>
        <w:t>“谁主张，谁举证”、“实事求是”</w:t>
      </w:r>
      <w:r>
        <w:rPr>
          <w:rFonts w:hint="eastAsia" w:ascii="宋体" w:hAnsi="宋体" w:eastAsia="宋体" w:cs="宋体"/>
          <w:sz w:val="24"/>
          <w:szCs w:val="24"/>
        </w:rPr>
        <w:t>的原则，不能臆测。属于须由法定部门调查、侦查或先行作出相关认定的事项，质疑人应当依法申请具有法定职权的部门查清、认定，并将相关结果提供给代理机构。代理机构不具有法定调查、认定权限。</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对本次磋商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对不能提供相关佐证材料的、涉及商业秘密的、非书面形式的、非送达的、匿名的《质疑函》将不予受理。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相关佐证材料要具备客观性、关联性、合法性，无法查实的（如宣传册、媒体报道、猜测、推理等）不能作为佐证材料。</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招标代理机构、采购单位不负责搜集相关佐证材料等工作。</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5.质疑人必须在法定质疑期内一次性提出针对本项目采购程序环节的质疑。招标代理机构不接受有权拒绝第二次及以上质疑。</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二、《质疑函》的受理和回复</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1.《质疑函》须由质疑人的法定代表人签字并加盖公章后，由法定代表人或参加本次磋商授权人送达采购单位和代理机构。</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对符合提出质疑要求的，采购单位和代理机构签收并出具《质疑受理通知书》。在处理过程中，发现需要质疑人进一步补充相关佐证材料的，请质疑人在规定的时间内提供，质疑回复时间相应顺延。质疑人不能按时提供相关佐证材料的，视同放弃质疑。</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3.对不符合提出质疑要求的，出具《质疑退回通知书》并提出相关补充材料要求，质疑人未在规定的时间内提供补充佐证材料的，视同放弃质疑。</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4.采购人负责将质疑人提出的质疑相关材料提供给相关专家或磋商小组审核，并将审核意见回复质疑人。</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5.因质疑情况复杂，组织论证或审查时间较长的，采购人以书面形式通知质疑人，可适当延长质疑回复处理时间。</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三、质疑处理</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1.质疑成立的处理。</w:t>
      </w:r>
      <w:r>
        <w:rPr>
          <w:rFonts w:hint="eastAsia" w:ascii="宋体" w:hAnsi="宋体" w:eastAsia="宋体" w:cs="宋体"/>
          <w:sz w:val="24"/>
          <w:szCs w:val="24"/>
        </w:rPr>
        <w:t>采购人终止采购，并建议有关部门给相关当事人予以处理。</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2.质疑不成立的处理。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（1）质疑人书面《申请撤回质疑函》的，不作违约处理。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（2）质疑人在规定的时间内不配合进行质疑调查处理的，按自动撤回《质疑函》处理。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（3）质疑人不按《质疑函》格式就提出质疑的，作违约处理。代理机构有权建议政府采购主管部门取消会员供应商资格三个月的违约处理；同时，视情列入不良供应商名单。</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质疑人虽提供了相关佐证材料，但不能证明其质疑成立的，采购人请质疑人补充相关佐证材料，仍不能证明其质疑成立的，作违约处理。代理机构有权建议政府采购主管部门取消会员供应商资格六个月的违约处理；同时，列入不良供应商名单。</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（5）质疑人不能提供相关佐证材料的，采购人已指出，质疑人仍然坚持提出质疑的，作违约处理。代理机构有权建议政府采购主管部门取消会员供应商资格一年的违约处理；同时，列入不良供应商名单。</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对明显有违事实的、经相关专家或磋商小组认定无依据的、经其他供应商举证无依据的质疑，作违约处理，采购人有权建议政府采购主管部门取消会员供应商资格一年的违约处理，列入不良供应商名单；同时，对其中每一项不成立的质疑给予质疑人1年内禁入由采购人组织的政府采购活动的违约处理，依次类推；视情在南通公共资源交易平台、省、国家级相关媒体予以披露。</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（7）质疑人承担使用虚假材料或恶意方式质疑的法律责任。</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（8）代理机构有权根据违约情节轻重，限制质疑人参加采购人组织的政府采购活动。情节严重的，代理机构将质疑人列入黑名单，有权给予质疑人1年内禁入由代理机构代理的政府采购活动的违约处理。</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四、无佐证材料的举报作违约处理。</w:t>
      </w:r>
      <w:r>
        <w:rPr>
          <w:rFonts w:hint="eastAsia" w:ascii="宋体" w:hAnsi="宋体" w:eastAsia="宋体" w:cs="宋体"/>
          <w:sz w:val="24"/>
          <w:szCs w:val="24"/>
        </w:rPr>
        <w:t>供应商不得进行不提供相关佐证材料（含无法查实的如宣传册、媒体报道、猜测、推理等）向有关部门的举报，否则作违约处理。采购人有权建议政府采购主管部门取消其相应的会员供应商资格，同时对其在1至3年内禁入由采购人组织的政府采购活动的违约处理。</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五、投诉不成立的作违约处理。</w:t>
      </w:r>
      <w:r>
        <w:rPr>
          <w:rFonts w:hint="eastAsia" w:ascii="宋体" w:hAnsi="宋体" w:eastAsia="宋体" w:cs="宋体"/>
          <w:sz w:val="24"/>
          <w:szCs w:val="24"/>
        </w:rPr>
        <w:t>供应商进行质疑后，采购人回复质疑不成立，供应商仍进行投诉的，并最终投诉不成立的，作违约处理。采购人有权建议政府采购主管部门取消其相应的会员供应商资格，同时对其在1至3年内禁入由采购人组织的政府采购活动的违约处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六、《质疑函》、《质疑回复函》，质疑、举报、投诉不成立的等相关情况，视情在南通公共资源交易平台、省、国家级等相关媒体予以披露。并建议相关政府采购机构对该供应商同步实施1至3年内禁入。</w:t>
      </w:r>
    </w:p>
    <w:p>
      <w:pPr>
        <w:pageBreakBefore w:val="0"/>
        <w:widowControl/>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br w:type="page"/>
      </w:r>
    </w:p>
    <w:p>
      <w:pPr>
        <w:pStyle w:val="5"/>
        <w:pageBreakBefore w:val="0"/>
        <w:kinsoku/>
        <w:wordWrap/>
        <w:overflowPunct/>
        <w:topLinePunct w:val="0"/>
        <w:bidi w:val="0"/>
        <w:spacing w:before="159" w:beforeLines="50" w:after="159" w:afterLines="50" w:line="360" w:lineRule="auto"/>
        <w:jc w:val="center"/>
        <w:textAlignment w:val="auto"/>
        <w:rPr>
          <w:rFonts w:hint="eastAsia" w:ascii="宋体" w:hAnsi="宋体" w:eastAsia="宋体" w:cs="宋体"/>
          <w:sz w:val="36"/>
          <w:szCs w:val="36"/>
        </w:rPr>
      </w:pPr>
      <w:r>
        <w:rPr>
          <w:rFonts w:hint="eastAsia" w:ascii="宋体" w:hAnsi="宋体" w:eastAsia="宋体" w:cs="宋体"/>
          <w:sz w:val="36"/>
          <w:szCs w:val="36"/>
        </w:rPr>
        <w:t>第七部分 响应文件组成</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响应文件由资格审查证明材料、商务技术响应文件、价格响应文件三部分组成。</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一、资格审查证明材料（一正两副，单独密封并牢固装订）：</w:t>
      </w:r>
    </w:p>
    <w:p>
      <w:pPr>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1.关于资格的声明函；（附件1）</w:t>
      </w:r>
    </w:p>
    <w:p>
      <w:pPr>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2.中小企业申明函（附件2）</w:t>
      </w:r>
    </w:p>
    <w:p>
      <w:pPr>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s="Times New Roman"/>
          <w:color w:val="000000"/>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.法定代表人参加投标的,须提供法定代表人身份证明书原件及本人身份证复印件（附件</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）；非法定代表人参加投标的，必须提供法定代表人签字或盖章的授权委托书及法定代表人、被授权人两人身份证的复印件</w:t>
      </w:r>
      <w:r>
        <w:rPr>
          <w:rFonts w:ascii="Times New Roman" w:hAnsi="Times New Roman" w:cs="Times New Roman"/>
        </w:rPr>
        <w:t>；</w:t>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.法人或其他组织的营业执照复印件；</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具有良好的商业信誉和健全的财务会计制度（2021年度经审计的财务报告，成立不满一年不需提供）；</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有依法缴纳税收和社会保障资金的良好记录（参加本次政府采购活动前六个月内（至少一个月），依法缴纳税收和社会保障资金的相关材料并加盖公章）；</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具备履行合同所必需的设备和专业技术能力承诺书</w:t>
      </w:r>
      <w:r>
        <w:rPr>
          <w:rFonts w:hint="eastAsia" w:ascii="宋体" w:hAnsi="宋体" w:eastAsia="宋体" w:cs="宋体"/>
          <w:sz w:val="24"/>
          <w:szCs w:val="24"/>
        </w:rPr>
        <w:t>；（附件</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供应商</w:t>
      </w:r>
      <w:r>
        <w:rPr>
          <w:rFonts w:hint="eastAsia" w:ascii="宋体" w:hAnsi="宋体" w:eastAsia="宋体" w:cs="宋体"/>
          <w:sz w:val="24"/>
          <w:szCs w:val="24"/>
        </w:rPr>
        <w:t>参加政府采购活动前 3 年内在经营活动中没有重大违法记录和失信记录的书面</w:t>
      </w:r>
      <w:r>
        <w:rPr>
          <w:rFonts w:hint="eastAsia" w:ascii="宋体" w:hAnsi="宋体" w:eastAsia="宋体" w:cs="宋体"/>
          <w:sz w:val="24"/>
          <w:szCs w:val="24"/>
          <w:lang w:eastAsia="zh-CN"/>
        </w:rPr>
        <w:t>声明；（附件</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p>
    <w:p>
      <w:pPr>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其它需要提交的资格审查证明材料。</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二、商务技术响应文件（不能出现报价；一正两副，单独密封并牢固装订）：</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竞争性磋商响应函（附件</w:t>
      </w:r>
      <w:r>
        <w:rPr>
          <w:rFonts w:hint="eastAsia" w:ascii="宋体" w:hAnsi="宋体" w:eastAsia="宋体" w:cs="宋体"/>
          <w:sz w:val="24"/>
          <w:szCs w:val="24"/>
          <w:lang w:val="en-US" w:eastAsia="zh-CN"/>
        </w:rPr>
        <w:t>7</w:t>
      </w:r>
      <w:r>
        <w:rPr>
          <w:rFonts w:hint="eastAsia" w:ascii="宋体" w:hAnsi="宋体" w:eastAsia="宋体" w:cs="宋体"/>
          <w:sz w:val="24"/>
          <w:szCs w:val="24"/>
        </w:rPr>
        <w:t>）</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.磋商供应商情况一览表（附件</w:t>
      </w:r>
      <w:r>
        <w:rPr>
          <w:rFonts w:hint="eastAsia" w:ascii="宋体" w:hAnsi="宋体" w:eastAsia="宋体" w:cs="宋体"/>
          <w:sz w:val="24"/>
          <w:szCs w:val="24"/>
          <w:lang w:val="en-US" w:eastAsia="zh-CN"/>
        </w:rPr>
        <w:t>8</w:t>
      </w:r>
      <w:r>
        <w:rPr>
          <w:rFonts w:hint="eastAsia" w:ascii="宋体" w:hAnsi="宋体" w:eastAsia="宋体" w:cs="宋体"/>
          <w:sz w:val="24"/>
          <w:szCs w:val="24"/>
        </w:rPr>
        <w:t>）；</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.商务</w:t>
      </w:r>
      <w:r>
        <w:rPr>
          <w:rFonts w:hint="eastAsia" w:ascii="宋体" w:hAnsi="宋体" w:eastAsia="宋体" w:cs="宋体"/>
          <w:sz w:val="24"/>
          <w:szCs w:val="24"/>
          <w:lang w:eastAsia="zh-CN"/>
        </w:rPr>
        <w:t>技术</w:t>
      </w:r>
      <w:r>
        <w:rPr>
          <w:rFonts w:hint="eastAsia" w:ascii="宋体" w:hAnsi="宋体" w:eastAsia="宋体" w:cs="宋体"/>
          <w:sz w:val="24"/>
          <w:szCs w:val="24"/>
        </w:rPr>
        <w:t>部分正负偏离表（附件</w:t>
      </w:r>
      <w:r>
        <w:rPr>
          <w:rFonts w:hint="eastAsia" w:ascii="宋体" w:hAnsi="宋体" w:eastAsia="宋体" w:cs="宋体"/>
          <w:sz w:val="24"/>
          <w:szCs w:val="24"/>
          <w:lang w:val="en-US" w:eastAsia="zh-CN"/>
        </w:rPr>
        <w:t>9）</w:t>
      </w:r>
      <w:r>
        <w:rPr>
          <w:rFonts w:hint="eastAsia" w:ascii="宋体" w:hAnsi="宋体" w:eastAsia="宋体" w:cs="宋体"/>
          <w:sz w:val="24"/>
          <w:szCs w:val="24"/>
        </w:rPr>
        <w:t>；</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bCs/>
          <w:sz w:val="24"/>
          <w:szCs w:val="24"/>
          <w:highlight w:val="yellow"/>
          <w:u w:val="single"/>
        </w:rPr>
      </w:pPr>
      <w:r>
        <w:rPr>
          <w:rFonts w:hint="eastAsia" w:ascii="宋体" w:hAnsi="宋体" w:eastAsia="宋体" w:cs="宋体"/>
          <w:b/>
          <w:bCs/>
          <w:sz w:val="24"/>
          <w:szCs w:val="24"/>
          <w:u w:val="single"/>
        </w:rPr>
        <w:t>填制正负偏离表，完全响应的，请以空白表列示。不完全响应的，必须在偏离表中列示；列示不全的，视同故意隐瞒。</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ascii="Times New Roman" w:hAnsi="Times New Roman" w:cs="Times New Roman"/>
          <w:color w:val="000000"/>
        </w:rPr>
        <w:t>商务技术部分评标办法中要求提供的全部资料</w:t>
      </w:r>
      <w:r>
        <w:rPr>
          <w:rFonts w:hint="eastAsia" w:ascii="宋体" w:hAnsi="宋体" w:eastAsia="宋体" w:cs="宋体"/>
          <w:sz w:val="24"/>
          <w:szCs w:val="24"/>
        </w:rPr>
        <w:t>，为方便评委评审，请供应商按评审办法中所涉及的事项顺序进行编制，可以补充相关材料。</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.评审办法中未涉及的事项，供应商认为需要提交的其他资料。</w:t>
      </w:r>
    </w:p>
    <w:p>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三、价格响应文件，一正两副（单独密封并牢固装订），不得出现在商务技术响应文件部分：</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1.报价总表（附件</w:t>
      </w:r>
      <w:r>
        <w:rPr>
          <w:rFonts w:hint="eastAsia" w:ascii="宋体" w:hAnsi="宋体" w:eastAsia="宋体" w:cs="宋体"/>
          <w:sz w:val="24"/>
          <w:szCs w:val="24"/>
          <w:lang w:val="en-US" w:eastAsia="zh-CN"/>
        </w:rPr>
        <w:t>10</w:t>
      </w:r>
      <w:r>
        <w:rPr>
          <w:rFonts w:hint="eastAsia" w:ascii="宋体" w:hAnsi="宋体" w:eastAsia="宋体" w:cs="宋体"/>
          <w:sz w:val="24"/>
          <w:szCs w:val="24"/>
        </w:rPr>
        <w:t>）；</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2.报价明细表（格式自拟）。</w:t>
      </w:r>
    </w:p>
    <w:p>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val="zh-CN"/>
        </w:rPr>
      </w:pPr>
    </w:p>
    <w:p>
      <w:pPr>
        <w:pageBreakBefore w:val="0"/>
        <w:widowControl/>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br w:type="page"/>
      </w:r>
    </w:p>
    <w:p>
      <w:pPr>
        <w:pageBreakBefore w:val="0"/>
        <w:widowControl/>
        <w:shd w:val="clear" w:color="auto" w:fill="FFFFFF"/>
        <w:kinsoku/>
        <w:wordWrap/>
        <w:overflowPunct/>
        <w:topLinePunct w:val="0"/>
        <w:bidi w:val="0"/>
        <w:spacing w:line="360" w:lineRule="auto"/>
        <w:jc w:val="center"/>
        <w:textAlignment w:val="auto"/>
        <w:rPr>
          <w:rFonts w:hint="eastAsia" w:ascii="宋体" w:hAnsi="宋体" w:eastAsia="宋体" w:cs="宋体"/>
          <w:b/>
          <w:sz w:val="24"/>
          <w:szCs w:val="24"/>
        </w:rPr>
      </w:pPr>
      <w:bookmarkStart w:id="9" w:name="_Toc44750623"/>
      <w:r>
        <w:rPr>
          <w:rFonts w:hint="eastAsia" w:ascii="宋体" w:hAnsi="宋体" w:eastAsia="宋体" w:cs="宋体"/>
          <w:b/>
          <w:sz w:val="24"/>
          <w:szCs w:val="24"/>
        </w:rPr>
        <w:t>附件1：关于资格的声明函</w:t>
      </w:r>
      <w:bookmarkEnd w:id="9"/>
    </w:p>
    <w:p>
      <w:pPr>
        <w:keepNext w:val="0"/>
        <w:keepLines w:val="0"/>
        <w:pageBreakBefore w:val="0"/>
        <w:widowControl/>
        <w:shd w:val="clear" w:color="auto" w:fill="FFFFFF"/>
        <w:kinsoku/>
        <w:wordWrap/>
        <w:overflowPunct/>
        <w:topLinePunct w:val="0"/>
        <w:autoSpaceDE/>
        <w:autoSpaceDN/>
        <w:bidi w:val="0"/>
        <w:spacing w:line="360" w:lineRule="auto"/>
        <w:jc w:val="left"/>
        <w:textAlignment w:val="auto"/>
        <w:rPr>
          <w:rFonts w:hint="eastAsia" w:ascii="宋体" w:hAnsi="宋体" w:eastAsia="宋体" w:cs="宋体"/>
          <w:sz w:val="24"/>
          <w:szCs w:val="24"/>
          <w:u w:val="single"/>
        </w:rPr>
      </w:pPr>
      <w:r>
        <w:rPr>
          <w:rFonts w:hint="eastAsia" w:ascii="宋体" w:hAnsi="宋体" w:eastAsia="宋体" w:cs="宋体"/>
          <w:sz w:val="24"/>
          <w:szCs w:val="24"/>
          <w:u w:val="single"/>
          <w:lang w:eastAsia="zh-CN"/>
        </w:rPr>
        <w:t>（采购人）</w:t>
      </w:r>
      <w:r>
        <w:rPr>
          <w:rFonts w:hint="eastAsia" w:ascii="宋体" w:hAnsi="宋体" w:eastAsia="宋体" w:cs="宋体"/>
          <w:sz w:val="24"/>
          <w:szCs w:val="24"/>
          <w:u w:val="single"/>
        </w:rPr>
        <w:t>：</w:t>
      </w:r>
    </w:p>
    <w:p>
      <w:pPr>
        <w:keepNext w:val="0"/>
        <w:keepLines w:val="0"/>
        <w:pageBreakBefore w:val="0"/>
        <w:kinsoku/>
        <w:wordWrap/>
        <w:overflowPunct w:val="0"/>
        <w:topLinePunct w:val="0"/>
        <w:autoSpaceDE/>
        <w:autoSpaceDN/>
        <w:bidi w:val="0"/>
        <w:adjustRightInd w:val="0"/>
        <w:spacing w:line="360" w:lineRule="auto"/>
        <w:ind w:firstLine="480" w:firstLineChars="200"/>
        <w:jc w:val="left"/>
        <w:textAlignment w:val="baseline"/>
        <w:rPr>
          <w:sz w:val="24"/>
        </w:rPr>
      </w:pPr>
      <w:r>
        <w:rPr>
          <w:sz w:val="24"/>
          <w:lang w:bidi="ar"/>
        </w:rPr>
        <w:t>本公司愿就由贵单位组织实施的</w:t>
      </w:r>
      <w:r>
        <w:rPr>
          <w:sz w:val="24"/>
          <w:u w:val="single"/>
          <w:lang w:bidi="ar"/>
        </w:rPr>
        <w:t xml:space="preserve">                        </w:t>
      </w:r>
      <w:r>
        <w:rPr>
          <w:sz w:val="24"/>
          <w:lang w:bidi="ar"/>
        </w:rPr>
        <w:t>（招标项目名称及项目编号</w:t>
      </w:r>
      <w:r>
        <w:rPr>
          <w:rFonts w:hint="eastAsia"/>
          <w:sz w:val="24"/>
          <w:lang w:bidi="ar"/>
        </w:rPr>
        <w:t>）</w:t>
      </w:r>
      <w:r>
        <w:rPr>
          <w:sz w:val="24"/>
          <w:lang w:bidi="ar"/>
        </w:rPr>
        <w:t>的招标活动进行投标。本公司所提交的投标文件中所有关于投标资格的文件、证明和陈述均是真实的、准确的。若与真实情况不符，本公司愿意承担由此而产生的一切后果。</w:t>
      </w:r>
    </w:p>
    <w:p>
      <w:pPr>
        <w:keepNext w:val="0"/>
        <w:keepLines w:val="0"/>
        <w:pageBreakBefore w:val="0"/>
        <w:kinsoku/>
        <w:wordWrap/>
        <w:topLinePunct w:val="0"/>
        <w:autoSpaceDE/>
        <w:autoSpaceDN/>
        <w:bidi w:val="0"/>
        <w:snapToGrid w:val="0"/>
        <w:spacing w:line="360" w:lineRule="auto"/>
        <w:jc w:val="center"/>
        <w:outlineLvl w:val="3"/>
        <w:rPr>
          <w:b/>
          <w:sz w:val="28"/>
          <w:szCs w:val="28"/>
        </w:rPr>
      </w:pPr>
    </w:p>
    <w:p>
      <w:pPr>
        <w:pageBreakBefore w:val="0"/>
        <w:widowControl/>
        <w:kinsoku/>
        <w:wordWrap/>
        <w:overflowPunct/>
        <w:topLinePunct w:val="0"/>
        <w:bidi w:val="0"/>
        <w:spacing w:line="360" w:lineRule="auto"/>
        <w:jc w:val="right"/>
        <w:textAlignment w:val="auto"/>
        <w:rPr>
          <w:rFonts w:hint="eastAsia" w:ascii="宋体" w:hAnsi="宋体" w:eastAsia="宋体" w:cs="宋体"/>
          <w:sz w:val="24"/>
          <w:szCs w:val="24"/>
        </w:rPr>
      </w:pPr>
    </w:p>
    <w:p>
      <w:pPr>
        <w:pageBreakBefore w:val="0"/>
        <w:kinsoku/>
        <w:wordWrap/>
        <w:overflowPunct/>
        <w:topLinePunct w:val="0"/>
        <w:bidi w:val="0"/>
        <w:spacing w:before="120" w:after="12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供应商名称（公章）： </w:t>
      </w:r>
    </w:p>
    <w:p>
      <w:pPr>
        <w:pageBreakBefore w:val="0"/>
        <w:kinsoku/>
        <w:wordWrap/>
        <w:overflowPunct/>
        <w:topLinePunct w:val="0"/>
        <w:bidi w:val="0"/>
        <w:spacing w:before="120" w:after="12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法定代表人或其委托代理人（签字或加盖人名章）：</w:t>
      </w:r>
    </w:p>
    <w:p>
      <w:pPr>
        <w:pageBreakBefore w:val="0"/>
        <w:kinsoku/>
        <w:wordWrap/>
        <w:overflowPunct/>
        <w:topLinePunct w:val="0"/>
        <w:bidi w:val="0"/>
        <w:spacing w:before="120" w:after="12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日    期：     年   月    日</w:t>
      </w:r>
    </w:p>
    <w:p>
      <w:pPr>
        <w:spacing w:line="420" w:lineRule="exact"/>
        <w:jc w:val="center"/>
        <w:rPr>
          <w:rFonts w:hint="eastAsia"/>
          <w:b/>
          <w:bCs/>
          <w:sz w:val="24"/>
          <w:lang w:eastAsia="zh-CN"/>
        </w:rPr>
      </w:pPr>
    </w:p>
    <w:p>
      <w:pPr>
        <w:spacing w:line="420" w:lineRule="exact"/>
        <w:jc w:val="center"/>
        <w:rPr>
          <w:rFonts w:hint="eastAsia"/>
          <w:b/>
          <w:bCs/>
          <w:sz w:val="24"/>
          <w:lang w:eastAsia="zh-CN"/>
        </w:rPr>
      </w:pPr>
    </w:p>
    <w:p>
      <w:pPr>
        <w:pStyle w:val="19"/>
        <w:rPr>
          <w:rFonts w:hint="eastAsia"/>
          <w:b/>
          <w:bCs/>
          <w:sz w:val="24"/>
          <w:lang w:eastAsia="zh-CN"/>
        </w:rPr>
      </w:pPr>
    </w:p>
    <w:p>
      <w:pPr>
        <w:pStyle w:val="19"/>
        <w:rPr>
          <w:rFonts w:hint="eastAsia"/>
          <w:b/>
          <w:bCs/>
          <w:sz w:val="24"/>
          <w:lang w:eastAsia="zh-CN"/>
        </w:rPr>
      </w:pPr>
    </w:p>
    <w:p>
      <w:pPr>
        <w:pStyle w:val="19"/>
        <w:rPr>
          <w:rFonts w:hint="eastAsia"/>
          <w:b/>
          <w:bCs/>
          <w:sz w:val="24"/>
          <w:lang w:eastAsia="zh-CN"/>
        </w:rPr>
      </w:pPr>
    </w:p>
    <w:p>
      <w:pPr>
        <w:pStyle w:val="19"/>
        <w:rPr>
          <w:rFonts w:hint="eastAsia"/>
          <w:b/>
          <w:bCs/>
          <w:sz w:val="24"/>
          <w:lang w:eastAsia="zh-CN"/>
        </w:rPr>
      </w:pPr>
    </w:p>
    <w:p>
      <w:pPr>
        <w:pStyle w:val="19"/>
        <w:rPr>
          <w:rFonts w:hint="eastAsia"/>
          <w:b/>
          <w:bCs/>
          <w:sz w:val="24"/>
          <w:lang w:eastAsia="zh-CN"/>
        </w:rPr>
      </w:pPr>
    </w:p>
    <w:p>
      <w:pPr>
        <w:pStyle w:val="19"/>
        <w:rPr>
          <w:rFonts w:hint="eastAsia"/>
          <w:b/>
          <w:bCs/>
          <w:sz w:val="24"/>
          <w:lang w:eastAsia="zh-CN"/>
        </w:rPr>
      </w:pPr>
    </w:p>
    <w:p>
      <w:pPr>
        <w:pStyle w:val="19"/>
        <w:rPr>
          <w:rFonts w:hint="eastAsia"/>
          <w:b/>
          <w:bCs/>
          <w:sz w:val="24"/>
          <w:lang w:eastAsia="zh-CN"/>
        </w:rPr>
      </w:pPr>
    </w:p>
    <w:p>
      <w:pPr>
        <w:spacing w:line="420" w:lineRule="exact"/>
        <w:jc w:val="center"/>
        <w:rPr>
          <w:rFonts w:hint="eastAsia"/>
          <w:b/>
          <w:bCs/>
          <w:sz w:val="24"/>
          <w:lang w:eastAsia="zh-CN"/>
        </w:rPr>
      </w:pPr>
    </w:p>
    <w:p>
      <w:pPr>
        <w:spacing w:line="420" w:lineRule="exact"/>
        <w:jc w:val="center"/>
        <w:rPr>
          <w:rFonts w:hint="eastAsia"/>
          <w:b/>
          <w:bCs/>
          <w:sz w:val="24"/>
          <w:lang w:eastAsia="zh-CN"/>
        </w:rPr>
      </w:pPr>
    </w:p>
    <w:p>
      <w:pPr>
        <w:spacing w:line="420" w:lineRule="exact"/>
        <w:jc w:val="center"/>
        <w:rPr>
          <w:rFonts w:hint="eastAsia"/>
          <w:b/>
          <w:bCs/>
          <w:sz w:val="24"/>
          <w:lang w:eastAsia="zh-CN"/>
        </w:rPr>
      </w:pPr>
    </w:p>
    <w:p>
      <w:pPr>
        <w:spacing w:line="420" w:lineRule="exact"/>
        <w:jc w:val="center"/>
        <w:rPr>
          <w:rFonts w:hint="eastAsia"/>
          <w:b/>
          <w:bCs/>
          <w:sz w:val="24"/>
          <w:lang w:eastAsia="zh-CN"/>
        </w:rPr>
      </w:pPr>
    </w:p>
    <w:p>
      <w:pPr>
        <w:spacing w:line="420" w:lineRule="exact"/>
        <w:jc w:val="center"/>
        <w:rPr>
          <w:rFonts w:hint="eastAsia"/>
          <w:b/>
          <w:bCs/>
          <w:sz w:val="24"/>
          <w:lang w:eastAsia="zh-CN"/>
        </w:rPr>
      </w:pPr>
    </w:p>
    <w:p>
      <w:pPr>
        <w:spacing w:line="420" w:lineRule="exact"/>
        <w:jc w:val="center"/>
        <w:rPr>
          <w:rFonts w:hint="eastAsia"/>
          <w:b/>
          <w:bCs/>
          <w:sz w:val="24"/>
          <w:lang w:eastAsia="zh-CN"/>
        </w:rPr>
      </w:pPr>
    </w:p>
    <w:p>
      <w:pPr>
        <w:spacing w:line="420" w:lineRule="exact"/>
        <w:jc w:val="both"/>
        <w:rPr>
          <w:rFonts w:hint="eastAsia"/>
          <w:b/>
          <w:bCs/>
          <w:sz w:val="24"/>
          <w:lang w:eastAsia="zh-CN"/>
        </w:rPr>
      </w:pPr>
    </w:p>
    <w:p>
      <w:pPr>
        <w:spacing w:line="420" w:lineRule="exact"/>
        <w:jc w:val="center"/>
        <w:rPr>
          <w:b/>
          <w:bCs/>
          <w:sz w:val="24"/>
        </w:rPr>
      </w:pPr>
      <w:r>
        <w:rPr>
          <w:rFonts w:hint="eastAsia"/>
          <w:b/>
          <w:bCs/>
          <w:sz w:val="24"/>
          <w:lang w:eastAsia="zh-CN"/>
        </w:rPr>
        <w:t>附件</w:t>
      </w:r>
      <w:r>
        <w:rPr>
          <w:rFonts w:hint="eastAsia"/>
          <w:b/>
          <w:bCs/>
          <w:sz w:val="24"/>
          <w:lang w:val="en-US" w:eastAsia="zh-CN"/>
        </w:rPr>
        <w:t>2</w:t>
      </w:r>
      <w:r>
        <w:rPr>
          <w:rFonts w:hint="eastAsia"/>
          <w:b/>
          <w:bCs/>
          <w:sz w:val="24"/>
        </w:rPr>
        <w:t>、</w:t>
      </w:r>
      <w:r>
        <w:rPr>
          <w:b/>
          <w:bCs/>
          <w:sz w:val="24"/>
        </w:rPr>
        <w:t>中小企业声明函</w:t>
      </w:r>
    </w:p>
    <w:p>
      <w:pPr>
        <w:autoSpaceDE w:val="0"/>
        <w:autoSpaceDN w:val="0"/>
        <w:spacing w:before="5"/>
        <w:jc w:val="left"/>
        <w:rPr>
          <w:rFonts w:eastAsia="仿宋"/>
          <w:b/>
          <w:kern w:val="0"/>
          <w:sz w:val="48"/>
          <w:szCs w:val="32"/>
        </w:rPr>
      </w:pPr>
    </w:p>
    <w:p>
      <w:pPr>
        <w:autoSpaceDE w:val="0"/>
        <w:autoSpaceDN w:val="0"/>
        <w:spacing w:line="360" w:lineRule="auto"/>
        <w:ind w:firstLine="480" w:firstLineChars="200"/>
        <w:jc w:val="left"/>
        <w:rPr>
          <w:kern w:val="0"/>
          <w:sz w:val="24"/>
        </w:rPr>
      </w:pPr>
      <w:r>
        <w:rPr>
          <w:kern w:val="0"/>
          <w:sz w:val="24"/>
        </w:rPr>
        <w:t>本公司郑重声明，根据《政府采购促进中小企业发展管理办法》（财库﹝2020﹞46 号）的规定，本公司参加</w:t>
      </w:r>
      <w:r>
        <w:rPr>
          <w:kern w:val="0"/>
          <w:sz w:val="24"/>
          <w:u w:val="single"/>
        </w:rPr>
        <w:t xml:space="preserve">  </w:t>
      </w:r>
      <w:r>
        <w:rPr>
          <w:rFonts w:eastAsia="仿宋"/>
          <w:kern w:val="0"/>
          <w:sz w:val="24"/>
          <w:u w:val="single"/>
        </w:rPr>
        <w:t xml:space="preserve">（单位名称） </w:t>
      </w:r>
      <w:r>
        <w:rPr>
          <w:kern w:val="0"/>
          <w:sz w:val="24"/>
          <w:u w:val="single"/>
        </w:rPr>
        <w:t xml:space="preserve">  </w:t>
      </w:r>
      <w:r>
        <w:rPr>
          <w:kern w:val="0"/>
          <w:sz w:val="24"/>
        </w:rPr>
        <w:t>的</w:t>
      </w:r>
      <w:r>
        <w:rPr>
          <w:kern w:val="0"/>
          <w:sz w:val="24"/>
          <w:u w:val="single"/>
        </w:rPr>
        <w:t xml:space="preserve">    </w:t>
      </w:r>
      <w:r>
        <w:rPr>
          <w:rFonts w:eastAsia="仿宋"/>
          <w:kern w:val="0"/>
          <w:sz w:val="24"/>
          <w:u w:val="single"/>
        </w:rPr>
        <w:t>（项目名称）</w:t>
      </w:r>
      <w:r>
        <w:rPr>
          <w:kern w:val="0"/>
          <w:sz w:val="24"/>
          <w:u w:val="single"/>
        </w:rPr>
        <w:t xml:space="preserve">   </w:t>
      </w:r>
      <w:r>
        <w:rPr>
          <w:kern w:val="0"/>
          <w:sz w:val="24"/>
        </w:rPr>
        <w:t>采购活动，服务全部由符合政策要求的中小企业承接。相关企业的具体情况如下：</w:t>
      </w:r>
    </w:p>
    <w:p>
      <w:pPr>
        <w:tabs>
          <w:tab w:val="left" w:pos="1243"/>
        </w:tabs>
        <w:autoSpaceDE w:val="0"/>
        <w:autoSpaceDN w:val="0"/>
        <w:spacing w:line="360" w:lineRule="auto"/>
        <w:ind w:firstLine="480" w:firstLineChars="200"/>
        <w:jc w:val="left"/>
        <w:rPr>
          <w:kern w:val="0"/>
          <w:sz w:val="24"/>
        </w:rPr>
      </w:pPr>
      <w:r>
        <w:rPr>
          <w:rFonts w:eastAsia="仿宋"/>
          <w:kern w:val="0"/>
          <w:sz w:val="24"/>
          <w:u w:val="single"/>
        </w:rPr>
        <w:t>（标的名称）</w:t>
      </w:r>
      <w:r>
        <w:rPr>
          <w:w w:val="96"/>
          <w:kern w:val="0"/>
          <w:sz w:val="24"/>
          <w:u w:val="single"/>
        </w:rPr>
        <w:t xml:space="preserve">  </w:t>
      </w:r>
      <w:r>
        <w:rPr>
          <w:sz w:val="24"/>
        </w:rPr>
        <w:t>，属</w:t>
      </w:r>
      <w:r>
        <w:rPr>
          <w:sz w:val="24"/>
          <w:u w:val="single"/>
        </w:rPr>
        <w:t xml:space="preserve">   其他未列明行业（科学研究和技术服务业）</w:t>
      </w:r>
      <w:r>
        <w:rPr>
          <w:w w:val="96"/>
          <w:kern w:val="0"/>
          <w:sz w:val="24"/>
          <w:u w:val="single"/>
        </w:rPr>
        <w:t xml:space="preserve">  </w:t>
      </w:r>
      <w:r>
        <w:rPr>
          <w:w w:val="99"/>
          <w:kern w:val="0"/>
          <w:sz w:val="24"/>
        </w:rPr>
        <w:t>；</w:t>
      </w:r>
      <w:r>
        <w:rPr>
          <w:sz w:val="24"/>
        </w:rPr>
        <w:t>承接企业为</w:t>
      </w:r>
      <w:r>
        <w:rPr>
          <w:sz w:val="24"/>
          <w:u w:val="single"/>
        </w:rPr>
        <w:t xml:space="preserve"> </w:t>
      </w:r>
      <w:r>
        <w:rPr>
          <w:rFonts w:eastAsia="仿宋"/>
          <w:kern w:val="0"/>
          <w:sz w:val="24"/>
          <w:u w:val="single"/>
        </w:rPr>
        <w:t xml:space="preserve"> （企业名称）</w:t>
      </w:r>
      <w:r>
        <w:rPr>
          <w:w w:val="96"/>
          <w:kern w:val="0"/>
          <w:sz w:val="24"/>
          <w:u w:val="single"/>
        </w:rPr>
        <w:t xml:space="preserve">   </w:t>
      </w:r>
      <w:r>
        <w:rPr>
          <w:sz w:val="24"/>
        </w:rPr>
        <w:t>，从业人员</w:t>
      </w:r>
      <w:r>
        <w:rPr>
          <w:w w:val="99"/>
          <w:kern w:val="0"/>
          <w:sz w:val="24"/>
          <w:u w:val="single"/>
        </w:rPr>
        <w:t xml:space="preserve">   </w:t>
      </w:r>
      <w:r>
        <w:rPr>
          <w:kern w:val="0"/>
          <w:sz w:val="24"/>
          <w:u w:val="single"/>
        </w:rPr>
        <w:tab/>
      </w:r>
      <w:r>
        <w:rPr>
          <w:sz w:val="24"/>
        </w:rPr>
        <w:t>人，营业收入为</w:t>
      </w:r>
      <w:r>
        <w:rPr>
          <w:kern w:val="0"/>
          <w:sz w:val="24"/>
          <w:u w:val="single"/>
        </w:rPr>
        <w:t xml:space="preserve"> </w:t>
      </w:r>
      <w:r>
        <w:rPr>
          <w:rFonts w:hint="eastAsia"/>
          <w:kern w:val="0"/>
          <w:sz w:val="24"/>
          <w:u w:val="single"/>
        </w:rPr>
        <w:t xml:space="preserve"> </w:t>
      </w:r>
      <w:r>
        <w:rPr>
          <w:kern w:val="0"/>
          <w:sz w:val="24"/>
          <w:u w:val="single"/>
        </w:rPr>
        <w:tab/>
      </w:r>
      <w:r>
        <w:rPr>
          <w:kern w:val="0"/>
          <w:sz w:val="24"/>
        </w:rPr>
        <w:t>万元，资产总额为</w:t>
      </w:r>
      <w:r>
        <w:rPr>
          <w:kern w:val="0"/>
          <w:sz w:val="24"/>
          <w:u w:val="single"/>
        </w:rPr>
        <w:t xml:space="preserve"> </w:t>
      </w:r>
      <w:r>
        <w:rPr>
          <w:kern w:val="0"/>
          <w:sz w:val="24"/>
          <w:u w:val="single"/>
        </w:rPr>
        <w:tab/>
      </w:r>
      <w:r>
        <w:rPr>
          <w:kern w:val="0"/>
          <w:sz w:val="24"/>
          <w:u w:val="single"/>
        </w:rPr>
        <w:t xml:space="preserve">     </w:t>
      </w:r>
      <w:r>
        <w:rPr>
          <w:kern w:val="0"/>
          <w:sz w:val="24"/>
        </w:rPr>
        <w:t>万元</w:t>
      </w:r>
      <w:r>
        <w:rPr>
          <w:kern w:val="0"/>
          <w:sz w:val="24"/>
          <w:vertAlign w:val="superscript"/>
        </w:rPr>
        <w:t>1</w:t>
      </w:r>
      <w:r>
        <w:rPr>
          <w:kern w:val="0"/>
          <w:sz w:val="24"/>
        </w:rPr>
        <w:t>，属于</w:t>
      </w:r>
      <w:r>
        <w:rPr>
          <w:kern w:val="0"/>
          <w:sz w:val="24"/>
          <w:u w:val="single"/>
        </w:rPr>
        <w:t xml:space="preserve">   </w:t>
      </w:r>
      <w:r>
        <w:rPr>
          <w:rFonts w:eastAsia="仿宋"/>
          <w:kern w:val="0"/>
          <w:sz w:val="24"/>
          <w:u w:val="single"/>
        </w:rPr>
        <w:t>（中型企业、</w:t>
      </w:r>
      <w:r>
        <w:rPr>
          <w:rFonts w:eastAsia="仿宋"/>
          <w:w w:val="96"/>
          <w:kern w:val="0"/>
          <w:sz w:val="24"/>
          <w:u w:val="single"/>
        </w:rPr>
        <w:t>小型企业、微型企业）</w:t>
      </w:r>
      <w:r>
        <w:rPr>
          <w:w w:val="96"/>
          <w:kern w:val="0"/>
          <w:sz w:val="24"/>
          <w:u w:val="single"/>
        </w:rPr>
        <w:t xml:space="preserve"> </w:t>
      </w:r>
      <w:r>
        <w:rPr>
          <w:w w:val="99"/>
          <w:kern w:val="0"/>
          <w:sz w:val="24"/>
        </w:rPr>
        <w:t>。</w:t>
      </w:r>
    </w:p>
    <w:p>
      <w:pPr>
        <w:autoSpaceDE w:val="0"/>
        <w:autoSpaceDN w:val="0"/>
        <w:spacing w:line="360" w:lineRule="auto"/>
        <w:ind w:firstLine="480" w:firstLineChars="200"/>
        <w:jc w:val="left"/>
        <w:rPr>
          <w:sz w:val="24"/>
        </w:rPr>
      </w:pPr>
      <w:r>
        <w:rPr>
          <w:kern w:val="0"/>
          <w:sz w:val="24"/>
        </w:rPr>
        <w:t>以上企业</w:t>
      </w:r>
      <w:r>
        <w:rPr>
          <w:sz w:val="24"/>
        </w:rPr>
        <w:t>不属于大企业的分支机构，不存在控股股东为大企业的情形，也不存在与大企业的负责人为同一人的情形。</w:t>
      </w:r>
    </w:p>
    <w:p>
      <w:pPr>
        <w:autoSpaceDE w:val="0"/>
        <w:autoSpaceDN w:val="0"/>
        <w:spacing w:line="360" w:lineRule="auto"/>
        <w:ind w:firstLine="480" w:firstLineChars="200"/>
        <w:jc w:val="left"/>
        <w:rPr>
          <w:sz w:val="24"/>
        </w:rPr>
      </w:pPr>
      <w:r>
        <w:rPr>
          <w:sz w:val="24"/>
        </w:rPr>
        <w:t>本企业对上述声明内容的真实性负责。如有虚假，将依法承担相应责任。</w:t>
      </w:r>
    </w:p>
    <w:p>
      <w:pPr>
        <w:autoSpaceDE w:val="0"/>
        <w:autoSpaceDN w:val="0"/>
        <w:spacing w:line="360" w:lineRule="auto"/>
        <w:ind w:firstLine="480" w:firstLineChars="200"/>
        <w:jc w:val="left"/>
        <w:rPr>
          <w:sz w:val="24"/>
        </w:rPr>
      </w:pPr>
    </w:p>
    <w:p>
      <w:pPr>
        <w:autoSpaceDE w:val="0"/>
        <w:autoSpaceDN w:val="0"/>
        <w:spacing w:line="360" w:lineRule="auto"/>
        <w:ind w:firstLine="4320" w:firstLineChars="1800"/>
        <w:jc w:val="left"/>
        <w:rPr>
          <w:sz w:val="24"/>
        </w:rPr>
      </w:pPr>
      <w:r>
        <w:rPr>
          <w:sz w:val="24"/>
        </w:rPr>
        <w:t>企业名称（盖章）：</w:t>
      </w:r>
    </w:p>
    <w:p>
      <w:pPr>
        <w:autoSpaceDE w:val="0"/>
        <w:autoSpaceDN w:val="0"/>
        <w:spacing w:line="360" w:lineRule="auto"/>
        <w:ind w:firstLine="4320" w:firstLineChars="1800"/>
        <w:jc w:val="left"/>
        <w:rPr>
          <w:sz w:val="24"/>
        </w:rPr>
      </w:pPr>
      <w:r>
        <w:rPr>
          <w:sz w:val="24"/>
        </w:rPr>
        <w:t>日 期：</w:t>
      </w:r>
    </w:p>
    <w:p>
      <w:pPr>
        <w:autoSpaceDE w:val="0"/>
        <w:autoSpaceDN w:val="0"/>
        <w:spacing w:line="360" w:lineRule="auto"/>
        <w:ind w:firstLine="480" w:firstLineChars="200"/>
        <w:jc w:val="left"/>
        <w:rPr>
          <w:sz w:val="24"/>
        </w:rPr>
      </w:pPr>
    </w:p>
    <w:p>
      <w:pPr>
        <w:pageBreakBefore w:val="0"/>
        <w:widowControl/>
        <w:kinsoku/>
        <w:wordWrap/>
        <w:overflowPunct/>
        <w:topLinePunct w:val="0"/>
        <w:bidi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br w:type="page"/>
      </w:r>
    </w:p>
    <w:p>
      <w:pPr>
        <w:pageBreakBefore w:val="0"/>
        <w:widowControl/>
        <w:shd w:val="clear" w:color="auto" w:fill="FFFFFF"/>
        <w:kinsoku/>
        <w:wordWrap/>
        <w:overflowPunct/>
        <w:topLinePunct w:val="0"/>
        <w:bidi w:val="0"/>
        <w:spacing w:line="360" w:lineRule="auto"/>
        <w:jc w:val="center"/>
        <w:textAlignment w:val="auto"/>
        <w:rPr>
          <w:rFonts w:hint="eastAsia" w:ascii="宋体" w:hAnsi="宋体" w:eastAsia="宋体" w:cs="宋体"/>
          <w:b/>
          <w:sz w:val="24"/>
          <w:szCs w:val="24"/>
        </w:rPr>
      </w:pPr>
      <w:bookmarkStart w:id="10" w:name="_Toc44750624"/>
      <w:r>
        <w:rPr>
          <w:rFonts w:hint="eastAsia" w:ascii="宋体" w:hAnsi="宋体" w:eastAsia="宋体" w:cs="宋体"/>
          <w:b/>
          <w:sz w:val="24"/>
          <w:szCs w:val="24"/>
        </w:rPr>
        <w:t>附件</w:t>
      </w:r>
      <w:r>
        <w:rPr>
          <w:rFonts w:hint="eastAsia" w:ascii="宋体" w:hAnsi="宋体" w:eastAsia="宋体" w:cs="宋体"/>
          <w:b/>
          <w:sz w:val="24"/>
          <w:szCs w:val="24"/>
          <w:lang w:val="en-US" w:eastAsia="zh-CN"/>
        </w:rPr>
        <w:t>3</w:t>
      </w:r>
      <w:r>
        <w:rPr>
          <w:rFonts w:hint="eastAsia" w:ascii="宋体" w:hAnsi="宋体" w:eastAsia="宋体" w:cs="宋体"/>
          <w:b/>
          <w:sz w:val="24"/>
          <w:szCs w:val="24"/>
        </w:rPr>
        <w:t>：法定代表人身份证明书</w:t>
      </w:r>
      <w:bookmarkEnd w:id="10"/>
    </w:p>
    <w:p>
      <w:pPr>
        <w:pStyle w:val="2"/>
        <w:jc w:val="center"/>
        <w:rPr>
          <w:rFonts w:hint="eastAsia"/>
        </w:rPr>
      </w:pPr>
      <w:r>
        <w:rPr>
          <w:sz w:val="24"/>
          <w:szCs w:val="24"/>
        </w:rPr>
        <w:t>（法定代表人参加，须出示此证明）</w:t>
      </w:r>
    </w:p>
    <w:p>
      <w:pPr>
        <w:pageBreakBefore w:val="0"/>
        <w:widowControl/>
        <w:shd w:val="clear" w:color="auto" w:fill="FFFFFF"/>
        <w:kinsoku/>
        <w:wordWrap/>
        <w:overflowPunct/>
        <w:topLinePunct w:val="0"/>
        <w:bidi w:val="0"/>
        <w:spacing w:line="360" w:lineRule="auto"/>
        <w:jc w:val="left"/>
        <w:textAlignment w:val="auto"/>
        <w:rPr>
          <w:rFonts w:hint="eastAsia" w:ascii="宋体" w:hAnsi="宋体" w:eastAsia="宋体" w:cs="宋体"/>
          <w:sz w:val="24"/>
          <w:szCs w:val="24"/>
        </w:rPr>
      </w:pPr>
    </w:p>
    <w:p>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先生／女士：现任我单位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供应商全称（公章）：</w:t>
      </w:r>
    </w:p>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法定代表人（签字）：</w:t>
      </w:r>
    </w:p>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响应日期：     年     月    日</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注：提供法定代表人的身份证复印件盖公章</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pageBreakBefore w:val="0"/>
        <w:widowControl/>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br w:type="page"/>
      </w:r>
    </w:p>
    <w:p>
      <w:pPr>
        <w:pageBreakBefore w:val="0"/>
        <w:widowControl/>
        <w:shd w:val="clear" w:color="auto" w:fill="FFFFFF"/>
        <w:kinsoku/>
        <w:wordWrap/>
        <w:overflowPunct/>
        <w:topLinePunct w:val="0"/>
        <w:bidi w:val="0"/>
        <w:spacing w:line="360" w:lineRule="auto"/>
        <w:jc w:val="center"/>
        <w:textAlignment w:val="auto"/>
        <w:rPr>
          <w:rFonts w:hint="eastAsia" w:ascii="宋体" w:hAnsi="宋体" w:eastAsia="宋体" w:cs="宋体"/>
          <w:b/>
          <w:sz w:val="24"/>
          <w:szCs w:val="24"/>
        </w:rPr>
      </w:pPr>
      <w:bookmarkStart w:id="11" w:name="_Toc44750625"/>
      <w:r>
        <w:rPr>
          <w:rFonts w:hint="eastAsia" w:ascii="宋体" w:hAnsi="宋体" w:eastAsia="宋体" w:cs="宋体"/>
          <w:b/>
          <w:sz w:val="24"/>
          <w:szCs w:val="24"/>
        </w:rPr>
        <w:t>附件</w:t>
      </w:r>
      <w:r>
        <w:rPr>
          <w:rFonts w:hint="eastAsia" w:ascii="宋体" w:hAnsi="宋体" w:eastAsia="宋体" w:cs="宋体"/>
          <w:b/>
          <w:sz w:val="24"/>
          <w:szCs w:val="24"/>
          <w:lang w:val="en-US" w:eastAsia="zh-CN"/>
        </w:rPr>
        <w:t>4</w:t>
      </w:r>
      <w:r>
        <w:rPr>
          <w:rFonts w:hint="eastAsia" w:ascii="宋体" w:hAnsi="宋体" w:eastAsia="宋体" w:cs="宋体"/>
          <w:b/>
          <w:sz w:val="24"/>
          <w:szCs w:val="24"/>
        </w:rPr>
        <w:t>：法定代表人授权委托书</w:t>
      </w:r>
      <w:bookmarkEnd w:id="11"/>
    </w:p>
    <w:p>
      <w:pPr>
        <w:snapToGrid w:val="0"/>
        <w:spacing w:line="520" w:lineRule="exact"/>
        <w:ind w:left="105" w:firstLine="480"/>
        <w:jc w:val="center"/>
        <w:rPr>
          <w:rFonts w:hint="eastAsia"/>
          <w:sz w:val="24"/>
          <w:szCs w:val="24"/>
        </w:rPr>
      </w:pPr>
      <w:r>
        <w:rPr>
          <w:sz w:val="24"/>
          <w:szCs w:val="24"/>
        </w:rPr>
        <w:t>（委托代理人参加，须出示此证明）</w:t>
      </w:r>
    </w:p>
    <w:p>
      <w:pPr>
        <w:pStyle w:val="2"/>
        <w:rPr>
          <w:rFonts w:hint="eastAsia"/>
        </w:rPr>
      </w:pPr>
    </w:p>
    <w:p>
      <w:pPr>
        <w:pageBreakBefore w:val="0"/>
        <w:widowControl/>
        <w:shd w:val="clear" w:color="auto" w:fill="FFFFFF"/>
        <w:kinsoku/>
        <w:wordWrap/>
        <w:overflowPunct/>
        <w:topLinePunct w:val="0"/>
        <w:bidi w:val="0"/>
        <w:spacing w:line="360" w:lineRule="auto"/>
        <w:jc w:val="left"/>
        <w:textAlignment w:val="auto"/>
        <w:rPr>
          <w:rFonts w:hint="eastAsia" w:ascii="宋体" w:hAnsi="宋体" w:eastAsia="宋体" w:cs="宋体"/>
          <w:sz w:val="24"/>
          <w:szCs w:val="24"/>
          <w:u w:val="single"/>
        </w:rPr>
      </w:pPr>
      <w:r>
        <w:rPr>
          <w:rFonts w:hint="eastAsia" w:eastAsia="宋体"/>
          <w:sz w:val="24"/>
          <w:u w:val="single"/>
          <w:lang w:eastAsia="zh-CN"/>
        </w:rPr>
        <w:t>（采购人）</w:t>
      </w:r>
      <w:r>
        <w:rPr>
          <w:rFonts w:hint="eastAsia" w:ascii="宋体" w:hAnsi="宋体" w:eastAsia="宋体" w:cs="宋体"/>
          <w:sz w:val="24"/>
          <w:szCs w:val="24"/>
          <w:u w:val="single"/>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 xml:space="preserve">        </w:t>
      </w: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的法定代表人，现授权委托</w:t>
      </w:r>
      <w:r>
        <w:rPr>
          <w:rFonts w:hint="eastAsia" w:ascii="宋体" w:hAnsi="宋体" w:eastAsia="宋体" w:cs="宋体"/>
          <w:sz w:val="24"/>
          <w:szCs w:val="24"/>
          <w:u w:val="single"/>
        </w:rPr>
        <w:t xml:space="preserve">          </w:t>
      </w:r>
      <w:r>
        <w:rPr>
          <w:rFonts w:hint="eastAsia" w:ascii="宋体" w:hAnsi="宋体" w:eastAsia="宋体" w:cs="宋体"/>
          <w:sz w:val="24"/>
          <w:szCs w:val="24"/>
        </w:rPr>
        <w:t>为我公司代理人，以本公司的名义参加本项目的响应活动。代理人在开标、评审、合同谈判过程中所签署的一切文件和处理与之有关的一切事务，我均予以承认。</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被委托授权人无转委权。特此委托。</w:t>
      </w:r>
    </w:p>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被委托授权人身份证号：</w:t>
      </w:r>
    </w:p>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被委托授权人签字：</w:t>
      </w:r>
    </w:p>
    <w:p>
      <w:pPr>
        <w:pageBreakBefore w:val="0"/>
        <w:kinsoku/>
        <w:wordWrap/>
        <w:overflowPunct/>
        <w:topLinePunct w:val="0"/>
        <w:bidi w:val="0"/>
        <w:spacing w:line="360" w:lineRule="auto"/>
        <w:textAlignment w:val="auto"/>
        <w:rPr>
          <w:rFonts w:hint="eastAsia" w:ascii="宋体" w:hAnsi="宋体" w:eastAsia="宋体" w:cs="宋体"/>
          <w:sz w:val="24"/>
          <w:szCs w:val="24"/>
        </w:rPr>
      </w:pPr>
    </w:p>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供应商全称（公章）：</w:t>
      </w:r>
    </w:p>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法定代表人（签字）：</w:t>
      </w:r>
    </w:p>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响应日期：     年     月    日</w:t>
      </w:r>
    </w:p>
    <w:p>
      <w:pPr>
        <w:spacing w:line="360" w:lineRule="auto"/>
        <w:rPr>
          <w:rFonts w:hint="eastAsia" w:ascii="宋体" w:hAnsi="宋体" w:cs="宋体"/>
          <w:sz w:val="24"/>
        </w:rPr>
      </w:pPr>
      <w:r>
        <w:rPr>
          <w:rFonts w:hint="eastAsia" w:ascii="宋体" w:hAnsi="宋体" w:cs="宋体"/>
          <w:sz w:val="24"/>
        </w:rPr>
        <w:t>法定代表人身份证复印件（正反面）</w:t>
      </w:r>
    </w:p>
    <w:p>
      <w:pPr>
        <w:spacing w:line="360" w:lineRule="auto"/>
        <w:rPr>
          <w:rFonts w:hint="eastAsia" w:ascii="宋体" w:hAnsi="宋体" w:cs="宋体"/>
          <w:sz w:val="24"/>
        </w:rPr>
      </w:pPr>
    </w:p>
    <w:p>
      <w:pPr>
        <w:spacing w:line="360" w:lineRule="auto"/>
        <w:ind w:firstLine="2160" w:firstLineChars="900"/>
        <w:rPr>
          <w:rFonts w:hint="eastAsia" w:ascii="宋体" w:hAnsi="宋体" w:cs="宋体"/>
          <w:sz w:val="24"/>
        </w:rPr>
      </w:pPr>
      <w:r>
        <w:rPr>
          <w:rFonts w:hint="eastAsia" w:ascii="宋体" w:hAnsi="宋体" w:cs="宋体"/>
          <w:sz w:val="24"/>
        </w:rPr>
        <w:t>（粘贴此处）</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被授权人身份证复印件（正反面）</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ind w:firstLine="2280" w:firstLineChars="950"/>
        <w:rPr>
          <w:rFonts w:hint="eastAsia" w:ascii="宋体" w:hAnsi="宋体" w:cs="宋体"/>
          <w:sz w:val="24"/>
        </w:rPr>
      </w:pPr>
      <w:r>
        <w:rPr>
          <w:rFonts w:hint="eastAsia" w:ascii="宋体" w:hAnsi="宋体" w:cs="宋体"/>
          <w:sz w:val="24"/>
        </w:rPr>
        <w:t>（粘贴此处）</w:t>
      </w:r>
    </w:p>
    <w:p>
      <w:pPr>
        <w:spacing w:line="360" w:lineRule="auto"/>
        <w:ind w:firstLine="2289" w:firstLineChars="950"/>
        <w:rPr>
          <w:rFonts w:hint="eastAsia" w:ascii="宋体" w:hAnsi="宋体" w:cs="宋体"/>
          <w:b/>
          <w:bCs/>
          <w:sz w:val="24"/>
        </w:rPr>
      </w:pPr>
    </w:p>
    <w:p>
      <w:pPr>
        <w:spacing w:line="360" w:lineRule="auto"/>
        <w:rPr>
          <w:rFonts w:hint="eastAsia" w:ascii="宋体" w:hAnsi="宋体" w:cs="宋体"/>
          <w:sz w:val="24"/>
        </w:rPr>
      </w:pPr>
      <w:r>
        <w:rPr>
          <w:rFonts w:hint="eastAsia" w:ascii="宋体" w:hAnsi="宋体" w:cs="宋体"/>
          <w:b/>
          <w:bCs/>
          <w:sz w:val="24"/>
        </w:rPr>
        <w:t>注: 如为被授权人参加竞磋时，须将身份证原件带至磋商现场备查。</w:t>
      </w:r>
    </w:p>
    <w:p>
      <w:pPr>
        <w:rPr>
          <w:rFonts w:hint="eastAsia" w:ascii="宋体" w:hAnsi="宋体" w:eastAsia="宋体" w:cs="宋体"/>
          <w:b/>
          <w:sz w:val="24"/>
          <w:szCs w:val="24"/>
        </w:rPr>
      </w:pPr>
      <w:r>
        <w:rPr>
          <w:rFonts w:hint="eastAsia" w:ascii="宋体" w:hAnsi="宋体" w:eastAsia="宋体" w:cs="宋体"/>
          <w:b/>
          <w:sz w:val="24"/>
          <w:szCs w:val="24"/>
        </w:rPr>
        <w:br w:type="page"/>
      </w:r>
    </w:p>
    <w:p>
      <w:pPr>
        <w:pageBreakBefore w:val="0"/>
        <w:kinsoku/>
        <w:wordWrap/>
        <w:overflowPunct/>
        <w:topLinePunct w:val="0"/>
        <w:bidi w:val="0"/>
        <w:spacing w:line="360" w:lineRule="auto"/>
        <w:jc w:val="center"/>
        <w:textAlignment w:val="auto"/>
        <w:rPr>
          <w:rFonts w:hint="eastAsia" w:ascii="宋体" w:hAnsi="宋体" w:eastAsia="宋体" w:cs="宋体"/>
          <w:sz w:val="24"/>
          <w:szCs w:val="24"/>
          <w:lang w:eastAsia="zh-CN"/>
        </w:rPr>
      </w:pPr>
      <w:bookmarkStart w:id="12" w:name="_Toc27325"/>
      <w:bookmarkStart w:id="13" w:name="_Toc24176"/>
      <w:bookmarkStart w:id="14" w:name="_Toc14366"/>
      <w:r>
        <w:rPr>
          <w:rFonts w:hint="eastAsia" w:ascii="宋体" w:hAnsi="宋体" w:eastAsia="宋体" w:cs="宋体"/>
          <w:b/>
          <w:sz w:val="24"/>
          <w:szCs w:val="24"/>
        </w:rPr>
        <w:t>附件</w:t>
      </w:r>
      <w:r>
        <w:rPr>
          <w:rFonts w:hint="eastAsia" w:ascii="宋体" w:hAnsi="宋体" w:eastAsia="宋体" w:cs="宋体"/>
          <w:b/>
          <w:sz w:val="24"/>
          <w:szCs w:val="24"/>
          <w:lang w:val="en-US" w:eastAsia="zh-CN"/>
        </w:rPr>
        <w:t>5</w:t>
      </w:r>
      <w:r>
        <w:rPr>
          <w:rFonts w:hint="eastAsia" w:ascii="宋体" w:hAnsi="宋体" w:eastAsia="宋体" w:cs="宋体"/>
          <w:b/>
          <w:sz w:val="24"/>
          <w:szCs w:val="24"/>
        </w:rPr>
        <w:t>：</w:t>
      </w:r>
      <w:r>
        <w:rPr>
          <w:rFonts w:hint="eastAsia" w:ascii="宋体" w:hAnsi="宋体" w:eastAsia="宋体" w:cs="宋体"/>
          <w:sz w:val="24"/>
          <w:szCs w:val="24"/>
          <w:lang w:eastAsia="zh-CN"/>
        </w:rPr>
        <w:t>具备履行合同所必需的设备和专业技术能力承诺书</w:t>
      </w:r>
      <w:bookmarkEnd w:id="12"/>
      <w:bookmarkEnd w:id="13"/>
      <w:bookmarkEnd w:id="14"/>
    </w:p>
    <w:p>
      <w:pPr>
        <w:pageBreakBefore w:val="0"/>
        <w:kinsoku/>
        <w:wordWrap/>
        <w:overflowPunct/>
        <w:topLinePunct w:val="0"/>
        <w:bidi w:val="0"/>
        <w:spacing w:line="360" w:lineRule="auto"/>
        <w:ind w:firstLine="480"/>
        <w:textAlignment w:val="auto"/>
        <w:rPr>
          <w:rFonts w:hint="eastAsia" w:ascii="宋体" w:hAnsi="宋体" w:eastAsia="宋体" w:cs="宋体"/>
          <w:sz w:val="24"/>
          <w:szCs w:val="24"/>
          <w:lang w:eastAsia="zh-CN"/>
        </w:rPr>
      </w:pPr>
    </w:p>
    <w:p>
      <w:pPr>
        <w:spacing w:line="360" w:lineRule="auto"/>
        <w:jc w:val="center"/>
        <w:rPr>
          <w:rFonts w:hint="eastAsia"/>
          <w:b/>
          <w:bCs/>
          <w:sz w:val="24"/>
        </w:rPr>
      </w:pPr>
      <w:r>
        <w:rPr>
          <w:rFonts w:hint="eastAsia"/>
          <w:b/>
          <w:bCs/>
          <w:sz w:val="24"/>
        </w:rPr>
        <w:t>履行合同所必需的设备和专业技术能力承诺函</w:t>
      </w:r>
    </w:p>
    <w:p>
      <w:pPr>
        <w:snapToGrid w:val="0"/>
        <w:spacing w:line="360" w:lineRule="auto"/>
        <w:jc w:val="center"/>
        <w:rPr>
          <w:rFonts w:ascii="宋体" w:hAnsi="宋体" w:cs="宋体"/>
          <w:b/>
          <w:bCs/>
          <w:sz w:val="24"/>
        </w:rPr>
      </w:pPr>
    </w:p>
    <w:p>
      <w:pPr>
        <w:pageBreakBefore w:val="0"/>
        <w:kinsoku/>
        <w:wordWrap/>
        <w:overflowPunct/>
        <w:topLinePunct w:val="0"/>
        <w:bidi w:val="0"/>
        <w:spacing w:line="360" w:lineRule="auto"/>
        <w:textAlignment w:val="auto"/>
        <w:rPr>
          <w:rFonts w:hint="eastAsia" w:ascii="宋体" w:hAnsi="宋体" w:eastAsia="宋体" w:cs="宋体"/>
          <w:sz w:val="24"/>
          <w:szCs w:val="24"/>
          <w:u w:val="single"/>
          <w:lang w:eastAsia="zh-CN"/>
        </w:rPr>
      </w:pPr>
      <w:r>
        <w:rPr>
          <w:rFonts w:hint="eastAsia" w:ascii="宋体" w:hAnsi="宋体" w:eastAsia="宋体" w:cs="宋体"/>
          <w:sz w:val="24"/>
          <w:szCs w:val="24"/>
          <w:u w:val="single"/>
          <w:lang w:eastAsia="zh-CN"/>
        </w:rPr>
        <w:t>（采购人）  ：</w:t>
      </w:r>
    </w:p>
    <w:p>
      <w:pPr>
        <w:spacing w:line="360" w:lineRule="auto"/>
        <w:ind w:firstLine="560"/>
        <w:jc w:val="left"/>
        <w:rPr>
          <w:rFonts w:ascii="宋体" w:hAnsi="宋体" w:cs="宋体"/>
          <w:sz w:val="24"/>
        </w:rPr>
      </w:pPr>
      <w:r>
        <w:rPr>
          <w:rFonts w:hint="eastAsia" w:ascii="宋体" w:hAnsi="宋体" w:cs="宋体"/>
          <w:sz w:val="24"/>
        </w:rPr>
        <w:t>我单位</w:t>
      </w:r>
      <w:r>
        <w:rPr>
          <w:rFonts w:hint="eastAsia" w:ascii="宋体" w:hAnsi="宋体" w:cs="宋体"/>
          <w:sz w:val="24"/>
          <w:u w:val="single"/>
        </w:rPr>
        <w:t xml:space="preserve">                            </w:t>
      </w:r>
      <w:r>
        <w:rPr>
          <w:rFonts w:hint="eastAsia" w:ascii="宋体" w:hAnsi="宋体" w:cs="宋体"/>
          <w:sz w:val="24"/>
        </w:rPr>
        <w:t>（供应商名称）郑重承诺：</w:t>
      </w:r>
    </w:p>
    <w:p>
      <w:pPr>
        <w:spacing w:line="360" w:lineRule="auto"/>
        <w:ind w:firstLine="560"/>
        <w:jc w:val="left"/>
        <w:rPr>
          <w:rFonts w:ascii="宋体" w:hAnsi="宋体" w:cs="宋体"/>
          <w:sz w:val="24"/>
        </w:rPr>
      </w:pPr>
      <w:r>
        <w:rPr>
          <w:rFonts w:hint="eastAsia" w:ascii="宋体" w:hAnsi="宋体" w:cs="宋体"/>
          <w:sz w:val="24"/>
        </w:rPr>
        <w:t>贵方组织的</w:t>
      </w:r>
      <w:r>
        <w:rPr>
          <w:rFonts w:hint="eastAsia" w:ascii="宋体" w:hAnsi="宋体" w:cs="宋体"/>
          <w:sz w:val="24"/>
          <w:u w:val="single"/>
        </w:rPr>
        <w:t xml:space="preserve">               </w:t>
      </w:r>
      <w:r>
        <w:rPr>
          <w:rFonts w:hint="eastAsia" w:ascii="宋体" w:hAnsi="宋体" w:cs="宋体"/>
          <w:sz w:val="24"/>
        </w:rPr>
        <w:t>(项目名称），</w:t>
      </w:r>
      <w:r>
        <w:rPr>
          <w:rFonts w:hint="eastAsia" w:ascii="宋体" w:hAnsi="宋体" w:cs="宋体"/>
          <w:sz w:val="24"/>
          <w:u w:val="single"/>
        </w:rPr>
        <w:t xml:space="preserve">               (项目编号）</w:t>
      </w:r>
      <w:r>
        <w:rPr>
          <w:rFonts w:hint="eastAsia" w:ascii="宋体" w:hAnsi="宋体" w:cs="宋体"/>
          <w:sz w:val="24"/>
        </w:rPr>
        <w:t>，我单位</w:t>
      </w:r>
      <w:r>
        <w:rPr>
          <w:rFonts w:hint="eastAsia" w:ascii="宋体" w:hAnsi="宋体" w:cs="宋体"/>
          <w:sz w:val="24"/>
          <w:u w:val="single"/>
        </w:rPr>
        <w:t xml:space="preserve">       </w:t>
      </w:r>
      <w:r>
        <w:rPr>
          <w:rFonts w:hint="eastAsia" w:ascii="宋体" w:hAnsi="宋体" w:cs="宋体"/>
          <w:sz w:val="24"/>
        </w:rPr>
        <w:t>(在下划线上如实填写：有或没有）履行合同所必需的设备和专业技术能力。</w:t>
      </w:r>
    </w:p>
    <w:p>
      <w:pPr>
        <w:spacing w:line="360" w:lineRule="auto"/>
        <w:ind w:firstLine="560"/>
        <w:jc w:val="left"/>
        <w:rPr>
          <w:rFonts w:ascii="宋体" w:hAnsi="宋体" w:cs="宋体"/>
          <w:sz w:val="24"/>
        </w:rPr>
      </w:pPr>
    </w:p>
    <w:p>
      <w:pPr>
        <w:spacing w:line="360" w:lineRule="auto"/>
        <w:ind w:firstLine="560"/>
        <w:jc w:val="left"/>
        <w:rPr>
          <w:rFonts w:ascii="宋体" w:hAnsi="宋体" w:cs="宋体"/>
          <w:sz w:val="24"/>
        </w:rPr>
      </w:pPr>
    </w:p>
    <w:p>
      <w:pPr>
        <w:snapToGrid w:val="0"/>
        <w:spacing w:line="460" w:lineRule="exact"/>
        <w:jc w:val="right"/>
        <w:rPr>
          <w:rFonts w:ascii="宋体" w:hAnsi="宋体"/>
          <w:bCs/>
          <w:sz w:val="24"/>
        </w:rPr>
      </w:pPr>
      <w:r>
        <w:rPr>
          <w:rFonts w:hint="eastAsia" w:ascii="宋体" w:hAnsi="宋体"/>
          <w:bCs/>
          <w:sz w:val="24"/>
        </w:rPr>
        <w:t>法定代表人或被授权人（签字或盖章）：</w:t>
      </w:r>
    </w:p>
    <w:p>
      <w:pPr>
        <w:snapToGrid w:val="0"/>
        <w:spacing w:line="460" w:lineRule="exact"/>
        <w:jc w:val="right"/>
        <w:rPr>
          <w:rFonts w:ascii="宋体" w:hAnsi="宋体"/>
          <w:bCs/>
          <w:sz w:val="24"/>
        </w:rPr>
      </w:pPr>
    </w:p>
    <w:p>
      <w:pPr>
        <w:snapToGrid w:val="0"/>
        <w:spacing w:line="460" w:lineRule="exact"/>
        <w:jc w:val="right"/>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（投标人）公章：</w:t>
      </w:r>
    </w:p>
    <w:p>
      <w:pPr>
        <w:snapToGrid w:val="0"/>
        <w:spacing w:line="460" w:lineRule="exact"/>
        <w:jc w:val="right"/>
        <w:rPr>
          <w:rFonts w:ascii="宋体" w:hAnsi="宋体"/>
          <w:bCs/>
          <w:sz w:val="24"/>
        </w:rPr>
      </w:pPr>
    </w:p>
    <w:p>
      <w:pPr>
        <w:wordWrap w:val="0"/>
        <w:snapToGrid w:val="0"/>
        <w:spacing w:line="460" w:lineRule="exact"/>
        <w:jc w:val="right"/>
        <w:rPr>
          <w:rFonts w:ascii="宋体" w:hAnsi="宋体"/>
          <w:bCs/>
          <w:sz w:val="24"/>
        </w:rPr>
      </w:pPr>
      <w:r>
        <w:rPr>
          <w:rFonts w:hint="eastAsia" w:ascii="宋体" w:hAnsi="宋体"/>
          <w:bCs/>
          <w:sz w:val="24"/>
        </w:rPr>
        <w:t>年</w:t>
      </w:r>
      <w:r>
        <w:rPr>
          <w:rFonts w:hint="eastAsia" w:ascii="宋体" w:hAnsi="宋体"/>
          <w:bCs/>
          <w:sz w:val="24"/>
        </w:rPr>
        <w:tab/>
      </w:r>
      <w:r>
        <w:rPr>
          <w:rFonts w:hint="eastAsia" w:ascii="宋体" w:hAnsi="宋体"/>
          <w:bCs/>
          <w:sz w:val="24"/>
        </w:rPr>
        <w:t xml:space="preserve">   月 </w:t>
      </w:r>
      <w:r>
        <w:rPr>
          <w:rFonts w:hint="eastAsia" w:ascii="宋体" w:hAnsi="宋体"/>
          <w:bCs/>
          <w:sz w:val="24"/>
        </w:rPr>
        <w:tab/>
      </w:r>
      <w:r>
        <w:rPr>
          <w:rFonts w:ascii="宋体" w:hAnsi="宋体"/>
          <w:bCs/>
          <w:sz w:val="24"/>
        </w:rPr>
        <w:t xml:space="preserve">  </w:t>
      </w:r>
      <w:r>
        <w:rPr>
          <w:rFonts w:hint="eastAsia" w:ascii="宋体" w:hAnsi="宋体"/>
          <w:bCs/>
          <w:sz w:val="24"/>
        </w:rPr>
        <w:t>日</w:t>
      </w:r>
    </w:p>
    <w:p>
      <w:pPr>
        <w:pageBreakBefore w:val="0"/>
        <w:widowControl/>
        <w:kinsoku/>
        <w:wordWrap/>
        <w:overflowPunct/>
        <w:topLinePunct w:val="0"/>
        <w:bidi w:val="0"/>
        <w:spacing w:line="360" w:lineRule="auto"/>
        <w:jc w:val="left"/>
        <w:textAlignment w:val="auto"/>
        <w:rPr>
          <w:rFonts w:hint="eastAsia" w:ascii="宋体" w:hAnsi="宋体" w:eastAsia="宋体" w:cs="宋体"/>
          <w:b/>
          <w:sz w:val="24"/>
          <w:szCs w:val="24"/>
          <w:lang w:eastAsia="zh-CN"/>
        </w:rPr>
      </w:pPr>
      <w:r>
        <w:rPr>
          <w:rFonts w:ascii="宋体" w:hAnsi="宋体" w:cs="宋体"/>
          <w:b/>
          <w:bCs/>
          <w:sz w:val="24"/>
        </w:rPr>
        <w:br w:type="page"/>
      </w:r>
      <w:bookmarkStart w:id="15" w:name="_Toc12562"/>
      <w:bookmarkStart w:id="16" w:name="_Toc2139"/>
      <w:bookmarkStart w:id="17" w:name="_Toc4170"/>
      <w:r>
        <w:rPr>
          <w:rFonts w:hint="eastAsia" w:ascii="宋体" w:hAnsi="宋体" w:eastAsia="宋体" w:cs="宋体"/>
          <w:b/>
          <w:sz w:val="24"/>
          <w:szCs w:val="24"/>
          <w:lang w:eastAsia="zh-CN"/>
        </w:rPr>
        <w:t>附件</w:t>
      </w:r>
      <w:r>
        <w:rPr>
          <w:rFonts w:hint="eastAsia" w:ascii="宋体" w:hAnsi="宋体" w:eastAsia="宋体" w:cs="宋体"/>
          <w:b/>
          <w:sz w:val="24"/>
          <w:szCs w:val="24"/>
          <w:lang w:val="en-US" w:eastAsia="zh-CN"/>
        </w:rPr>
        <w:t>6：</w:t>
      </w:r>
      <w:r>
        <w:rPr>
          <w:rFonts w:hint="eastAsia" w:ascii="宋体" w:hAnsi="宋体" w:eastAsia="宋体" w:cs="宋体"/>
          <w:b/>
          <w:sz w:val="24"/>
          <w:szCs w:val="24"/>
          <w:lang w:eastAsia="zh-CN"/>
        </w:rPr>
        <w:t xml:space="preserve"> 供应商</w:t>
      </w:r>
      <w:r>
        <w:rPr>
          <w:rFonts w:hint="eastAsia"/>
          <w:b/>
          <w:bCs/>
          <w:sz w:val="24"/>
        </w:rPr>
        <w:t>参加政府采购活动前 3 年内在经营活动中没有重大违法记录和失信记录的书面</w:t>
      </w:r>
      <w:r>
        <w:rPr>
          <w:rFonts w:hint="eastAsia" w:ascii="宋体" w:hAnsi="宋体" w:eastAsia="宋体" w:cs="宋体"/>
          <w:b/>
          <w:sz w:val="24"/>
          <w:szCs w:val="24"/>
          <w:lang w:eastAsia="zh-CN"/>
        </w:rPr>
        <w:t>声明（格式）</w:t>
      </w:r>
      <w:bookmarkEnd w:id="15"/>
      <w:bookmarkEnd w:id="16"/>
      <w:bookmarkEnd w:id="17"/>
    </w:p>
    <w:p>
      <w:pPr>
        <w:pageBreakBefore w:val="0"/>
        <w:kinsoku/>
        <w:wordWrap/>
        <w:overflowPunct/>
        <w:topLinePunct w:val="0"/>
        <w:bidi w:val="0"/>
        <w:spacing w:line="360" w:lineRule="auto"/>
        <w:jc w:val="center"/>
        <w:textAlignment w:val="auto"/>
        <w:rPr>
          <w:rFonts w:hint="eastAsia" w:ascii="宋体" w:hAnsi="宋体" w:eastAsia="宋体" w:cs="宋体"/>
          <w:sz w:val="24"/>
          <w:szCs w:val="24"/>
          <w:lang w:eastAsia="zh-CN"/>
        </w:rPr>
      </w:pPr>
    </w:p>
    <w:p>
      <w:pPr>
        <w:pageBreakBefore w:val="0"/>
        <w:tabs>
          <w:tab w:val="left" w:pos="5580"/>
        </w:tabs>
        <w:kinsoku/>
        <w:wordWrap/>
        <w:overflowPunct/>
        <w:topLinePunct w:val="0"/>
        <w:bidi w:val="0"/>
        <w:spacing w:before="120" w:line="360" w:lineRule="auto"/>
        <w:ind w:firstLine="480" w:firstLineChars="200"/>
        <w:textAlignment w:val="auto"/>
        <w:rPr>
          <w:rFonts w:hint="eastAsia" w:ascii="宋体" w:hAnsi="宋体" w:eastAsia="宋体" w:cs="宋体"/>
          <w:sz w:val="24"/>
          <w:szCs w:val="24"/>
          <w:lang w:eastAsia="zh-CN"/>
        </w:rPr>
      </w:pPr>
    </w:p>
    <w:p>
      <w:pPr>
        <w:snapToGrid w:val="0"/>
        <w:spacing w:line="360" w:lineRule="auto"/>
        <w:jc w:val="center"/>
        <w:outlineLvl w:val="4"/>
        <w:rPr>
          <w:rFonts w:hint="eastAsia" w:ascii="宋体" w:hAnsi="宋体" w:cs="宋体"/>
          <w:b/>
          <w:bCs/>
          <w:sz w:val="24"/>
        </w:rPr>
      </w:pPr>
      <w:bookmarkStart w:id="18" w:name="_Toc32222"/>
      <w:bookmarkStart w:id="19" w:name="_Toc21479"/>
      <w:r>
        <w:rPr>
          <w:rFonts w:hint="eastAsia"/>
          <w:b/>
          <w:bCs/>
          <w:sz w:val="24"/>
        </w:rPr>
        <w:t xml:space="preserve"> 参加政府采购活动前 3 年内在经营活动中没有重大违法记录和失信记录的书面声</w:t>
      </w:r>
      <w:r>
        <w:rPr>
          <w:rFonts w:hint="eastAsia" w:ascii="宋体" w:hAnsi="宋体" w:cs="宋体"/>
          <w:b/>
          <w:bCs/>
          <w:sz w:val="24"/>
        </w:rPr>
        <w:t>明</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pageBreakBefore w:val="0"/>
        <w:tabs>
          <w:tab w:val="left" w:pos="5580"/>
        </w:tabs>
        <w:kinsoku/>
        <w:wordWrap/>
        <w:overflowPunct/>
        <w:topLinePunct w:val="0"/>
        <w:bidi w:val="0"/>
        <w:spacing w:before="120" w:line="360" w:lineRule="auto"/>
        <w:textAlignment w:val="auto"/>
        <w:rPr>
          <w:rFonts w:hint="eastAsia" w:ascii="宋体" w:hAnsi="宋体"/>
          <w:b/>
          <w:bCs/>
          <w:color w:val="000000"/>
          <w:sz w:val="44"/>
          <w:szCs w:val="44"/>
        </w:rPr>
      </w:pPr>
      <w:r>
        <w:rPr>
          <w:rFonts w:hint="eastAsia" w:ascii="宋体" w:hAnsi="宋体" w:eastAsia="宋体" w:cs="宋体"/>
          <w:sz w:val="24"/>
          <w:szCs w:val="24"/>
          <w:lang w:eastAsia="zh-CN"/>
        </w:rPr>
        <w:t>致：</w:t>
      </w:r>
      <w:r>
        <w:rPr>
          <w:rFonts w:hint="eastAsia" w:ascii="宋体" w:hAnsi="宋体" w:eastAsia="宋体" w:cs="宋体"/>
          <w:sz w:val="24"/>
          <w:szCs w:val="24"/>
          <w:u w:val="single"/>
          <w:lang w:eastAsia="zh-CN"/>
        </w:rPr>
        <w:t xml:space="preserve"> </w:t>
      </w:r>
      <w:r>
        <w:rPr>
          <w:rFonts w:hint="eastAsia" w:eastAsia="宋体"/>
          <w:sz w:val="24"/>
          <w:u w:val="single"/>
          <w:lang w:eastAsia="zh-CN"/>
        </w:rPr>
        <w:t>（采购人）</w:t>
      </w:r>
      <w:r>
        <w:rPr>
          <w:rFonts w:hint="eastAsia" w:ascii="宋体" w:hAnsi="宋体" w:eastAsia="宋体" w:cs="宋体"/>
          <w:sz w:val="24"/>
          <w:szCs w:val="24"/>
          <w:u w:val="single"/>
          <w:lang w:eastAsia="zh-CN"/>
        </w:rPr>
        <w:t xml:space="preserve"> </w:t>
      </w:r>
    </w:p>
    <w:p>
      <w:pPr>
        <w:spacing w:line="500" w:lineRule="exact"/>
        <w:ind w:firstLine="482"/>
        <w:rPr>
          <w:bCs/>
          <w:color w:val="000000"/>
          <w:sz w:val="24"/>
          <w:szCs w:val="21"/>
        </w:rPr>
      </w:pPr>
      <w:r>
        <w:rPr>
          <w:bCs/>
          <w:color w:val="000000"/>
          <w:sz w:val="24"/>
          <w:szCs w:val="21"/>
        </w:rPr>
        <w:t>我公司郑重声明：参加本次政府采购活动前 3 年内，我公司在经营活动中</w:t>
      </w:r>
    </w:p>
    <w:p>
      <w:pPr>
        <w:spacing w:line="560" w:lineRule="exact"/>
        <w:ind w:firstLine="480"/>
        <w:rPr>
          <w:bCs/>
          <w:color w:val="000000"/>
          <w:sz w:val="24"/>
          <w:szCs w:val="21"/>
        </w:rPr>
      </w:pPr>
      <w:r>
        <w:rPr>
          <w:rFonts w:hint="eastAsia" w:ascii="宋体" w:hAnsi="宋体" w:cs="宋体"/>
          <w:sz w:val="24"/>
          <w:u w:val="single"/>
        </w:rPr>
        <w:t xml:space="preserve">       </w:t>
      </w:r>
      <w:r>
        <w:rPr>
          <w:rFonts w:hint="eastAsia" w:ascii="宋体" w:hAnsi="宋体" w:cs="宋体"/>
          <w:sz w:val="24"/>
        </w:rPr>
        <w:t>(在下划线上如实填写：有或没有）</w:t>
      </w:r>
      <w:r>
        <w:rPr>
          <w:bCs/>
          <w:color w:val="000000"/>
          <w:sz w:val="24"/>
          <w:szCs w:val="21"/>
        </w:rPr>
        <w:t>因违法经营受到刑事处罚或者责令停产停业、吊销许可证或者执照、较大数额罚款等行政处罚。</w:t>
      </w:r>
    </w:p>
    <w:p>
      <w:pPr>
        <w:spacing w:line="500" w:lineRule="exact"/>
        <w:ind w:firstLine="482"/>
        <w:rPr>
          <w:rFonts w:hint="eastAsia" w:ascii="宋体" w:hAnsi="宋体"/>
          <w:bCs/>
          <w:color w:val="000000"/>
          <w:sz w:val="24"/>
          <w:szCs w:val="21"/>
        </w:rPr>
      </w:pPr>
      <w:r>
        <w:rPr>
          <w:rFonts w:hint="eastAsia" w:ascii="宋体" w:hAnsi="宋体"/>
          <w:bCs/>
          <w:color w:val="000000"/>
          <w:sz w:val="24"/>
          <w:szCs w:val="21"/>
        </w:rPr>
        <w:t>在</w:t>
      </w:r>
      <w:r>
        <w:rPr>
          <w:rFonts w:hint="eastAsia" w:ascii="宋体" w:hAnsi="宋体"/>
          <w:color w:val="000000"/>
          <w:sz w:val="24"/>
        </w:rPr>
        <w:t>投标截止时间节点，</w:t>
      </w:r>
      <w:r>
        <w:rPr>
          <w:rFonts w:hint="eastAsia" w:ascii="宋体" w:hAnsi="宋体" w:cs="宋体"/>
          <w:sz w:val="24"/>
          <w:u w:val="single"/>
        </w:rPr>
        <w:t xml:space="preserve">       </w:t>
      </w:r>
      <w:r>
        <w:rPr>
          <w:rFonts w:hint="eastAsia" w:ascii="宋体" w:hAnsi="宋体" w:cs="宋体"/>
          <w:sz w:val="24"/>
        </w:rPr>
        <w:t>(在下划线上如实填写：有或没有）</w:t>
      </w:r>
      <w:r>
        <w:rPr>
          <w:rFonts w:hint="eastAsia" w:ascii="宋体" w:hAnsi="宋体"/>
          <w:color w:val="000000"/>
          <w:sz w:val="24"/>
        </w:rPr>
        <w:t>被“信用中国”、“中国政府采购网”、“信用江苏”网站列入失信被执行人、重大税收违法案件当事人名单、政府采购严重违法失信行为记录名单。</w:t>
      </w:r>
    </w:p>
    <w:p>
      <w:pPr>
        <w:spacing w:line="560" w:lineRule="exact"/>
        <w:rPr>
          <w:rFonts w:hint="eastAsia" w:ascii="宋体" w:hAnsi="宋体" w:cs="宋体"/>
          <w:sz w:val="24"/>
        </w:rPr>
      </w:pPr>
    </w:p>
    <w:p>
      <w:pPr>
        <w:spacing w:line="360" w:lineRule="auto"/>
        <w:ind w:firstLine="480" w:firstLineChars="200"/>
        <w:jc w:val="right"/>
        <w:rPr>
          <w:rFonts w:hint="eastAsia" w:ascii="宋体" w:hAnsi="宋体" w:cs="宋体"/>
          <w:sz w:val="24"/>
        </w:rPr>
      </w:pPr>
      <w:r>
        <w:rPr>
          <w:rFonts w:hint="eastAsia" w:ascii="宋体" w:hAnsi="宋体" w:cs="宋体"/>
          <w:sz w:val="24"/>
        </w:rPr>
        <w:t xml:space="preserve">                                  </w:t>
      </w:r>
    </w:p>
    <w:p>
      <w:pPr>
        <w:spacing w:line="360" w:lineRule="auto"/>
        <w:ind w:firstLine="480" w:firstLineChars="200"/>
        <w:jc w:val="right"/>
        <w:rPr>
          <w:rFonts w:hint="eastAsia" w:ascii="宋体" w:hAnsi="宋体" w:cs="宋体"/>
          <w:sz w:val="24"/>
        </w:rPr>
      </w:pPr>
    </w:p>
    <w:p>
      <w:pPr>
        <w:spacing w:line="360" w:lineRule="auto"/>
        <w:ind w:firstLine="480" w:firstLineChars="200"/>
        <w:jc w:val="right"/>
        <w:rPr>
          <w:rFonts w:hint="eastAsia" w:ascii="宋体" w:hAnsi="宋体" w:cs="宋体"/>
          <w:sz w:val="24"/>
        </w:rPr>
      </w:pPr>
      <w:r>
        <w:rPr>
          <w:rFonts w:hint="eastAsia" w:ascii="宋体" w:hAnsi="宋体" w:cs="宋体"/>
          <w:sz w:val="24"/>
        </w:rPr>
        <w:t xml:space="preserve"> 投标供应商：</w:t>
      </w:r>
      <w:r>
        <w:rPr>
          <w:rFonts w:hint="eastAsia" w:ascii="宋体" w:hAnsi="宋体" w:cs="宋体"/>
          <w:sz w:val="24"/>
          <w:u w:val="single"/>
        </w:rPr>
        <w:t xml:space="preserve">                    </w:t>
      </w:r>
      <w:r>
        <w:rPr>
          <w:rFonts w:hint="eastAsia" w:ascii="宋体" w:hAnsi="宋体" w:cs="宋体"/>
          <w:sz w:val="24"/>
        </w:rPr>
        <w:t>（加盖公章）</w:t>
      </w:r>
    </w:p>
    <w:p>
      <w:pPr>
        <w:spacing w:line="360" w:lineRule="auto"/>
        <w:ind w:firstLine="480" w:firstLineChars="200"/>
        <w:jc w:val="right"/>
        <w:rPr>
          <w:rFonts w:hint="eastAsia" w:ascii="宋体" w:hAnsi="宋体" w:cs="宋体"/>
          <w:sz w:val="24"/>
        </w:rPr>
      </w:pPr>
      <w:r>
        <w:rPr>
          <w:rFonts w:hint="eastAsia" w:ascii="宋体" w:hAnsi="宋体" w:cs="宋体"/>
          <w:sz w:val="24"/>
        </w:rPr>
        <w:t>法定代表人或被授权人：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1320" w:firstLineChars="550"/>
        <w:jc w:val="right"/>
        <w:rPr>
          <w:rFonts w:hint="eastAsia" w:ascii="宋体" w:hAnsi="宋体" w:cs="宋体"/>
          <w:sz w:val="24"/>
        </w:rPr>
      </w:pPr>
      <w:r>
        <w:rPr>
          <w:rFonts w:hint="eastAsia" w:ascii="宋体" w:hAnsi="宋体" w:cs="宋体"/>
          <w:sz w:val="24"/>
        </w:rPr>
        <w:t>年      月     日</w:t>
      </w:r>
    </w:p>
    <w:p>
      <w:pPr>
        <w:autoSpaceDE w:val="0"/>
        <w:autoSpaceDN w:val="0"/>
        <w:spacing w:line="360" w:lineRule="auto"/>
        <w:ind w:firstLine="482" w:firstLineChars="200"/>
        <w:jc w:val="left"/>
        <w:rPr>
          <w:sz w:val="24"/>
        </w:rPr>
      </w:pPr>
      <w:r>
        <w:rPr>
          <w:rFonts w:hint="eastAsia" w:ascii="宋体" w:hAnsi="宋体" w:cs="宋体"/>
          <w:b/>
          <w:bCs/>
          <w:sz w:val="24"/>
        </w:rPr>
        <w:br w:type="page"/>
      </w:r>
      <w:bookmarkEnd w:id="18"/>
      <w:bookmarkEnd w:id="19"/>
    </w:p>
    <w:p>
      <w:pPr>
        <w:rPr>
          <w:b/>
          <w:sz w:val="24"/>
        </w:rPr>
      </w:pPr>
    </w:p>
    <w:p>
      <w:pPr>
        <w:pageBreakBefore w:val="0"/>
        <w:widowControl/>
        <w:kinsoku/>
        <w:wordWrap/>
        <w:overflowPunct/>
        <w:topLinePunct w:val="0"/>
        <w:bidi w:val="0"/>
        <w:spacing w:line="360" w:lineRule="auto"/>
        <w:jc w:val="center"/>
        <w:textAlignment w:val="auto"/>
        <w:outlineLvl w:val="2"/>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7:</w:t>
      </w:r>
      <w:r>
        <w:rPr>
          <w:rFonts w:hint="eastAsia" w:ascii="宋体" w:hAnsi="宋体" w:eastAsia="宋体" w:cs="宋体"/>
          <w:b/>
          <w:bCs/>
          <w:sz w:val="24"/>
          <w:szCs w:val="24"/>
          <w:lang w:eastAsia="zh-CN"/>
        </w:rPr>
        <w:t xml:space="preserve">  </w:t>
      </w:r>
      <w:r>
        <w:rPr>
          <w:b/>
          <w:bCs/>
          <w:sz w:val="24"/>
        </w:rPr>
        <w:t>竞争性磋商响应函</w:t>
      </w:r>
    </w:p>
    <w:p>
      <w:pPr>
        <w:snapToGrid w:val="0"/>
        <w:spacing w:line="520" w:lineRule="exact"/>
        <w:ind w:firstLine="482" w:firstLineChars="200"/>
        <w:jc w:val="center"/>
        <w:rPr>
          <w:rFonts w:hint="eastAsia"/>
          <w:b/>
          <w:sz w:val="24"/>
          <w:lang w:val="en-US" w:eastAsia="zh-CN"/>
        </w:rPr>
      </w:pPr>
    </w:p>
    <w:p>
      <w:pPr>
        <w:snapToGrid w:val="0"/>
        <w:spacing w:line="520" w:lineRule="exact"/>
        <w:ind w:firstLine="482" w:firstLineChars="200"/>
        <w:jc w:val="center"/>
        <w:rPr>
          <w:b/>
          <w:bCs/>
          <w:sz w:val="24"/>
        </w:rPr>
      </w:pPr>
      <w:r>
        <w:rPr>
          <w:b/>
          <w:bCs/>
          <w:sz w:val="24"/>
        </w:rPr>
        <w:t>竞争性磋商响应函</w:t>
      </w:r>
    </w:p>
    <w:p>
      <w:pPr>
        <w:snapToGrid w:val="0"/>
        <w:spacing w:line="520" w:lineRule="exact"/>
        <w:rPr>
          <w:sz w:val="24"/>
          <w:u w:val="single"/>
        </w:rPr>
      </w:pPr>
      <w:r>
        <w:rPr>
          <w:rFonts w:hint="eastAsia"/>
          <w:sz w:val="24"/>
          <w:u w:val="single"/>
          <w:lang w:eastAsia="zh-CN"/>
        </w:rPr>
        <w:t>（采购人）</w:t>
      </w:r>
      <w:r>
        <w:rPr>
          <w:sz w:val="24"/>
          <w:u w:val="single"/>
        </w:rPr>
        <w:t>：</w:t>
      </w:r>
    </w:p>
    <w:p>
      <w:pPr>
        <w:snapToGrid w:val="0"/>
        <w:spacing w:line="360" w:lineRule="auto"/>
        <w:ind w:firstLine="480" w:firstLineChars="200"/>
        <w:outlineLvl w:val="3"/>
        <w:rPr>
          <w:sz w:val="24"/>
        </w:rPr>
      </w:pPr>
      <w:r>
        <w:rPr>
          <w:sz w:val="24"/>
        </w:rPr>
        <w:t>依据贵单位委托代理机构组织的</w:t>
      </w:r>
      <w:r>
        <w:rPr>
          <w:sz w:val="24"/>
          <w:u w:val="single"/>
        </w:rPr>
        <w:t xml:space="preserve">               </w:t>
      </w:r>
      <w:r>
        <w:rPr>
          <w:sz w:val="24"/>
        </w:rPr>
        <w:t>（磋商项目名称</w:t>
      </w:r>
      <w:r>
        <w:rPr>
          <w:rFonts w:hint="eastAsia"/>
          <w:sz w:val="24"/>
        </w:rPr>
        <w:t>）</w:t>
      </w:r>
      <w:r>
        <w:rPr>
          <w:sz w:val="24"/>
        </w:rPr>
        <w:t>项目竞争性磋商的邀请，我方授权</w:t>
      </w:r>
      <w:r>
        <w:rPr>
          <w:sz w:val="24"/>
          <w:u w:val="single"/>
        </w:rPr>
        <w:t xml:space="preserve">    </w:t>
      </w:r>
      <w:r>
        <w:rPr>
          <w:sz w:val="24"/>
        </w:rPr>
        <w:t>（姓名）</w:t>
      </w:r>
      <w:r>
        <w:rPr>
          <w:sz w:val="24"/>
          <w:u w:val="single"/>
        </w:rPr>
        <w:t xml:space="preserve">    </w:t>
      </w:r>
      <w:r>
        <w:rPr>
          <w:sz w:val="24"/>
        </w:rPr>
        <w:t>（职务）为全权代表参加该项目的磋商工作，全权处理本次竞争性磋商的有关事宜。同时，我公司声明如下：</w:t>
      </w:r>
    </w:p>
    <w:p>
      <w:pPr>
        <w:snapToGrid w:val="0"/>
        <w:spacing w:line="360" w:lineRule="auto"/>
        <w:ind w:firstLine="480" w:firstLineChars="200"/>
        <w:outlineLvl w:val="3"/>
        <w:rPr>
          <w:sz w:val="24"/>
        </w:rPr>
      </w:pPr>
      <w:r>
        <w:rPr>
          <w:sz w:val="24"/>
        </w:rPr>
        <w:t>1、同意并接受竞争性磋商文件的各项要求，遵守竞争性磋商文件中的各项规定，按竞争性磋商文件的要求提供报价。</w:t>
      </w:r>
    </w:p>
    <w:p>
      <w:pPr>
        <w:snapToGrid w:val="0"/>
        <w:spacing w:line="360" w:lineRule="auto"/>
        <w:ind w:firstLine="480" w:firstLineChars="200"/>
        <w:outlineLvl w:val="3"/>
        <w:rPr>
          <w:sz w:val="24"/>
        </w:rPr>
      </w:pPr>
      <w:r>
        <w:rPr>
          <w:sz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360" w:lineRule="auto"/>
        <w:ind w:firstLine="480" w:firstLineChars="200"/>
        <w:outlineLvl w:val="3"/>
        <w:rPr>
          <w:sz w:val="24"/>
        </w:rPr>
      </w:pPr>
      <w:r>
        <w:rPr>
          <w:sz w:val="24"/>
        </w:rPr>
        <w:t>3、我公司已毫无保留地向贵方提供一切所需的证明材料。</w:t>
      </w:r>
    </w:p>
    <w:p>
      <w:pPr>
        <w:snapToGrid w:val="0"/>
        <w:spacing w:line="360" w:lineRule="auto"/>
        <w:ind w:firstLine="480" w:firstLineChars="200"/>
        <w:outlineLvl w:val="3"/>
        <w:rPr>
          <w:sz w:val="24"/>
        </w:rPr>
      </w:pPr>
      <w:r>
        <w:rPr>
          <w:sz w:val="24"/>
        </w:rPr>
        <w:t>4、我公司承诺在本次磋商响应中提供的一切文件，无论是原件还是复印件均真实有效，绝无任何虚假、伪造和夸大的成份。否则，愿承担相应的后果和法律责任。</w:t>
      </w:r>
    </w:p>
    <w:p>
      <w:pPr>
        <w:snapToGrid w:val="0"/>
        <w:spacing w:line="360" w:lineRule="auto"/>
        <w:ind w:firstLine="480" w:firstLineChars="200"/>
        <w:outlineLvl w:val="3"/>
        <w:rPr>
          <w:b/>
          <w:sz w:val="24"/>
        </w:rPr>
      </w:pPr>
      <w:r>
        <w:rPr>
          <w:sz w:val="24"/>
        </w:rPr>
        <w:t>5、</w:t>
      </w:r>
      <w:r>
        <w:rPr>
          <w:b/>
          <w:sz w:val="24"/>
        </w:rPr>
        <w:t>我公司尊重磋商小组所作的评定结果，同时清楚理解到报价最低并非意味着必定获得成交资格。</w:t>
      </w:r>
    </w:p>
    <w:p>
      <w:pPr>
        <w:snapToGrid w:val="0"/>
        <w:spacing w:line="360" w:lineRule="auto"/>
        <w:ind w:firstLine="480" w:firstLineChars="200"/>
        <w:outlineLvl w:val="3"/>
        <w:rPr>
          <w:sz w:val="24"/>
        </w:rPr>
      </w:pPr>
      <w:r>
        <w:rPr>
          <w:sz w:val="24"/>
        </w:rPr>
        <w:t>6、一旦成交，我方承诺无正当理由拒绝签订合同，将被贵方取消成交资格，同意向贵方支付成交金额的2%作为违约金。</w:t>
      </w:r>
    </w:p>
    <w:p>
      <w:pPr>
        <w:snapToGrid w:val="0"/>
        <w:spacing w:line="360" w:lineRule="auto"/>
        <w:ind w:firstLine="480" w:firstLineChars="200"/>
        <w:outlineLvl w:val="3"/>
        <w:rPr>
          <w:sz w:val="24"/>
        </w:rPr>
      </w:pPr>
      <w:r>
        <w:rPr>
          <w:sz w:val="24"/>
        </w:rPr>
        <w:t>7、一旦成交，我方将根据竞争性磋商文件的规定，严格履行合同规定的责任和义务。否则，我方同意无条件接受贵单位终止合同的要求。</w:t>
      </w:r>
    </w:p>
    <w:p>
      <w:pPr>
        <w:pStyle w:val="2"/>
        <w:ind w:firstLine="420"/>
      </w:pPr>
    </w:p>
    <w:p>
      <w:pPr>
        <w:pageBreakBefore w:val="0"/>
        <w:kinsoku/>
        <w:wordWrap/>
        <w:overflowPunct/>
        <w:topLinePunct w:val="0"/>
        <w:bidi w:val="0"/>
        <w:spacing w:before="120" w:after="12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供应商名称（公章）： </w:t>
      </w:r>
    </w:p>
    <w:p>
      <w:pPr>
        <w:pageBreakBefore w:val="0"/>
        <w:kinsoku/>
        <w:wordWrap/>
        <w:overflowPunct/>
        <w:topLinePunct w:val="0"/>
        <w:bidi w:val="0"/>
        <w:spacing w:before="120" w:after="12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法定代表人或其委托代理人（签字或加盖人名章）：</w:t>
      </w:r>
    </w:p>
    <w:p>
      <w:pPr>
        <w:pageBreakBefore w:val="0"/>
        <w:kinsoku/>
        <w:wordWrap/>
        <w:overflowPunct/>
        <w:topLinePunct w:val="0"/>
        <w:bidi w:val="0"/>
        <w:spacing w:before="120" w:after="12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日    期：     年   月    日</w:t>
      </w:r>
    </w:p>
    <w:p>
      <w:pPr>
        <w:pStyle w:val="36"/>
        <w:snapToGrid w:val="0"/>
        <w:spacing w:line="300" w:lineRule="auto"/>
        <w:ind w:firstLine="0" w:firstLineChars="0"/>
        <w:contextualSpacing/>
        <w:rPr>
          <w:rFonts w:ascii="Times New Roman" w:hAnsi="Times New Roman"/>
          <w:b/>
          <w:color w:val="000000"/>
          <w:sz w:val="36"/>
          <w:szCs w:val="36"/>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pageBreakBefore w:val="0"/>
        <w:widowControl/>
        <w:kinsoku/>
        <w:wordWrap/>
        <w:overflowPunct/>
        <w:topLinePunct w:val="0"/>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8:</w:t>
      </w:r>
      <w:r>
        <w:rPr>
          <w:rFonts w:hint="eastAsia" w:ascii="宋体" w:hAnsi="宋体" w:eastAsia="宋体" w:cs="宋体"/>
          <w:b/>
          <w:sz w:val="24"/>
          <w:szCs w:val="24"/>
        </w:rPr>
        <w:t>供应商情况一览表</w:t>
      </w:r>
    </w:p>
    <w:p>
      <w:pPr>
        <w:pageBreakBefore w:val="0"/>
        <w:kinsoku/>
        <w:wordWrap/>
        <w:overflowPunct/>
        <w:topLinePunct w:val="0"/>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情况一览表</w:t>
      </w:r>
    </w:p>
    <w:tbl>
      <w:tblPr>
        <w:tblStyle w:val="15"/>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851"/>
        <w:gridCol w:w="708"/>
        <w:gridCol w:w="1561"/>
        <w:gridCol w:w="1135"/>
        <w:gridCol w:w="851"/>
        <w:gridCol w:w="141"/>
        <w:gridCol w:w="271"/>
        <w:gridCol w:w="1002"/>
        <w:gridCol w:w="271"/>
        <w:gridCol w:w="11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6" w:type="dxa"/>
            <w:gridSpan w:val="2"/>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单位名称</w:t>
            </w:r>
          </w:p>
        </w:tc>
        <w:tc>
          <w:tcPr>
            <w:tcW w:w="7941" w:type="dxa"/>
            <w:gridSpan w:val="10"/>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4" w:type="dxa"/>
            <w:gridSpan w:val="3"/>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单位优势及特长</w:t>
            </w:r>
          </w:p>
        </w:tc>
        <w:tc>
          <w:tcPr>
            <w:tcW w:w="7233" w:type="dxa"/>
            <w:gridSpan w:val="9"/>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restart"/>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单位</w:t>
            </w:r>
          </w:p>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概况</w:t>
            </w:r>
          </w:p>
        </w:tc>
        <w:tc>
          <w:tcPr>
            <w:tcW w:w="1559" w:type="dxa"/>
            <w:gridSpan w:val="2"/>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职工总数</w:t>
            </w:r>
          </w:p>
        </w:tc>
        <w:tc>
          <w:tcPr>
            <w:tcW w:w="1561"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人</w:t>
            </w:r>
          </w:p>
        </w:tc>
        <w:tc>
          <w:tcPr>
            <w:tcW w:w="1135" w:type="dxa"/>
            <w:vMerge w:val="restart"/>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上一年主要经济指标</w:t>
            </w:r>
          </w:p>
        </w:tc>
        <w:tc>
          <w:tcPr>
            <w:tcW w:w="992" w:type="dxa"/>
            <w:gridSpan w:val="2"/>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营业额</w:t>
            </w:r>
          </w:p>
        </w:tc>
        <w:tc>
          <w:tcPr>
            <w:tcW w:w="1273" w:type="dxa"/>
            <w:gridSpan w:val="2"/>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421" w:type="dxa"/>
            <w:gridSpan w:val="2"/>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实现利润</w:t>
            </w:r>
          </w:p>
        </w:tc>
        <w:tc>
          <w:tcPr>
            <w:tcW w:w="851"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559" w:type="dxa"/>
            <w:gridSpan w:val="2"/>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流动资金</w:t>
            </w:r>
          </w:p>
        </w:tc>
        <w:tc>
          <w:tcPr>
            <w:tcW w:w="1561"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万元</w:t>
            </w:r>
          </w:p>
        </w:tc>
        <w:tc>
          <w:tcPr>
            <w:tcW w:w="1135" w:type="dxa"/>
            <w:vMerge w:val="continue"/>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992" w:type="dxa"/>
            <w:gridSpan w:val="2"/>
            <w:vMerge w:val="restart"/>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主要</w:t>
            </w:r>
          </w:p>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产品</w:t>
            </w:r>
          </w:p>
        </w:tc>
        <w:tc>
          <w:tcPr>
            <w:tcW w:w="3545" w:type="dxa"/>
            <w:gridSpan w:val="5"/>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815" w:type="dxa"/>
            <w:vMerge w:val="continue"/>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559" w:type="dxa"/>
            <w:gridSpan w:val="2"/>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固定资产</w:t>
            </w:r>
          </w:p>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（万元）</w:t>
            </w:r>
          </w:p>
        </w:tc>
        <w:tc>
          <w:tcPr>
            <w:tcW w:w="1561"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原值：</w:t>
            </w:r>
          </w:p>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净值：</w:t>
            </w:r>
          </w:p>
        </w:tc>
        <w:tc>
          <w:tcPr>
            <w:tcW w:w="1135" w:type="dxa"/>
            <w:vMerge w:val="continue"/>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992" w:type="dxa"/>
            <w:gridSpan w:val="2"/>
            <w:vMerge w:val="continue"/>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3545" w:type="dxa"/>
            <w:gridSpan w:val="5"/>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559" w:type="dxa"/>
            <w:gridSpan w:val="2"/>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占地面积</w:t>
            </w:r>
          </w:p>
        </w:tc>
        <w:tc>
          <w:tcPr>
            <w:tcW w:w="1561"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M2</w:t>
            </w:r>
          </w:p>
        </w:tc>
        <w:tc>
          <w:tcPr>
            <w:tcW w:w="1135" w:type="dxa"/>
            <w:vMerge w:val="continue"/>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992" w:type="dxa"/>
            <w:gridSpan w:val="2"/>
            <w:vMerge w:val="continue"/>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3545" w:type="dxa"/>
            <w:gridSpan w:val="5"/>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restart"/>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本次</w:t>
            </w:r>
          </w:p>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响应</w:t>
            </w:r>
          </w:p>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产品</w:t>
            </w:r>
          </w:p>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情况</w:t>
            </w:r>
          </w:p>
        </w:tc>
        <w:tc>
          <w:tcPr>
            <w:tcW w:w="1559" w:type="dxa"/>
            <w:gridSpan w:val="2"/>
            <w:vAlign w:val="center"/>
          </w:tcPr>
          <w:p>
            <w:pPr>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本次响应产品名称</w:t>
            </w:r>
          </w:p>
        </w:tc>
        <w:tc>
          <w:tcPr>
            <w:tcW w:w="1561" w:type="dxa"/>
            <w:vAlign w:val="center"/>
          </w:tcPr>
          <w:p>
            <w:pPr>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型    号</w:t>
            </w:r>
          </w:p>
        </w:tc>
        <w:tc>
          <w:tcPr>
            <w:tcW w:w="1135" w:type="dxa"/>
            <w:vAlign w:val="center"/>
          </w:tcPr>
          <w:p>
            <w:pPr>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上年产销量</w:t>
            </w:r>
          </w:p>
        </w:tc>
        <w:tc>
          <w:tcPr>
            <w:tcW w:w="1263" w:type="dxa"/>
            <w:gridSpan w:val="3"/>
            <w:vAlign w:val="center"/>
          </w:tcPr>
          <w:p>
            <w:pPr>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产品技术</w:t>
            </w:r>
          </w:p>
          <w:p>
            <w:pPr>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先进水平</w:t>
            </w:r>
          </w:p>
        </w:tc>
        <w:tc>
          <w:tcPr>
            <w:tcW w:w="1273" w:type="dxa"/>
            <w:gridSpan w:val="2"/>
            <w:vAlign w:val="center"/>
          </w:tcPr>
          <w:p>
            <w:pPr>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曾获何级</w:t>
            </w:r>
          </w:p>
          <w:p>
            <w:pPr>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何种奖励</w:t>
            </w:r>
          </w:p>
        </w:tc>
        <w:tc>
          <w:tcPr>
            <w:tcW w:w="2001" w:type="dxa"/>
            <w:gridSpan w:val="2"/>
            <w:vAlign w:val="center"/>
          </w:tcPr>
          <w:p>
            <w:pPr>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主要用户名称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559" w:type="dxa"/>
            <w:gridSpan w:val="2"/>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561"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135"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263" w:type="dxa"/>
            <w:gridSpan w:val="3"/>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273" w:type="dxa"/>
            <w:gridSpan w:val="2"/>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2001" w:type="dxa"/>
            <w:gridSpan w:val="2"/>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559" w:type="dxa"/>
            <w:gridSpan w:val="2"/>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561"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135"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263" w:type="dxa"/>
            <w:gridSpan w:val="3"/>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273" w:type="dxa"/>
            <w:gridSpan w:val="2"/>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2001" w:type="dxa"/>
            <w:gridSpan w:val="2"/>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559" w:type="dxa"/>
            <w:gridSpan w:val="2"/>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561"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135"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263" w:type="dxa"/>
            <w:gridSpan w:val="3"/>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273" w:type="dxa"/>
            <w:gridSpan w:val="2"/>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2001" w:type="dxa"/>
            <w:gridSpan w:val="2"/>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559" w:type="dxa"/>
            <w:gridSpan w:val="2"/>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561"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135"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263" w:type="dxa"/>
            <w:gridSpan w:val="3"/>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273" w:type="dxa"/>
            <w:gridSpan w:val="2"/>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2001" w:type="dxa"/>
            <w:gridSpan w:val="2"/>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restart"/>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其它</w:t>
            </w:r>
          </w:p>
        </w:tc>
        <w:tc>
          <w:tcPr>
            <w:tcW w:w="5106" w:type="dxa"/>
            <w:gridSpan w:val="5"/>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响应资格将被取消）。</w:t>
            </w:r>
          </w:p>
        </w:tc>
        <w:tc>
          <w:tcPr>
            <w:tcW w:w="3686" w:type="dxa"/>
            <w:gridSpan w:val="6"/>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如有名称变更（非因该单位出现了与资格预审（如果经此程序）时的营业性质的根本改变以至不再满足本次磋商的要求），说明原名称因何种原因变更为现名称，并提供由市场监督管理部门出具的变更证明文件。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815" w:type="dxa"/>
            <w:vMerge w:val="continue"/>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5106" w:type="dxa"/>
            <w:gridSpan w:val="5"/>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3686" w:type="dxa"/>
            <w:gridSpan w:val="6"/>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r>
    </w:tbl>
    <w:p>
      <w:pPr>
        <w:pageBreakBefore w:val="0"/>
        <w:widowControl/>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br w:type="page"/>
      </w:r>
    </w:p>
    <w:p>
      <w:pPr>
        <w:pageBreakBefore w:val="0"/>
        <w:widowControl/>
        <w:shd w:val="clear" w:color="auto" w:fill="FFFFFF"/>
        <w:kinsoku/>
        <w:wordWrap/>
        <w:overflowPunct/>
        <w:topLinePunct w:val="0"/>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9</w:t>
      </w:r>
      <w:r>
        <w:rPr>
          <w:rFonts w:hint="eastAsia" w:ascii="宋体" w:hAnsi="宋体" w:eastAsia="宋体" w:cs="宋体"/>
          <w:b/>
          <w:sz w:val="24"/>
          <w:szCs w:val="24"/>
        </w:rPr>
        <w:t>：商务</w:t>
      </w:r>
      <w:r>
        <w:rPr>
          <w:rFonts w:hint="eastAsia" w:ascii="宋体" w:hAnsi="宋体" w:eastAsia="宋体" w:cs="宋体"/>
          <w:b/>
          <w:sz w:val="24"/>
          <w:szCs w:val="24"/>
          <w:lang w:eastAsia="zh-CN"/>
        </w:rPr>
        <w:t>技术</w:t>
      </w:r>
      <w:r>
        <w:rPr>
          <w:rFonts w:hint="eastAsia" w:ascii="宋体" w:hAnsi="宋体" w:eastAsia="宋体" w:cs="宋体"/>
          <w:b/>
          <w:sz w:val="24"/>
          <w:szCs w:val="24"/>
        </w:rPr>
        <w:t>正负偏离表</w:t>
      </w:r>
    </w:p>
    <w:p>
      <w:pPr>
        <w:pageBreakBefore w:val="0"/>
        <w:kinsoku/>
        <w:wordWrap/>
        <w:overflowPunct/>
        <w:topLinePunct w:val="0"/>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商务技术正负偏离表</w:t>
      </w:r>
    </w:p>
    <w:p>
      <w:pPr>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（由供应商据实提交，表格不够自行添加）</w:t>
      </w:r>
    </w:p>
    <w:tbl>
      <w:tblPr>
        <w:tblStyle w:val="15"/>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586"/>
        <w:gridCol w:w="2706"/>
        <w:gridCol w:w="272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49" w:type="dxa"/>
            <w:vAlign w:val="center"/>
          </w:tcPr>
          <w:p>
            <w:pPr>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586" w:type="dxa"/>
            <w:vAlign w:val="center"/>
          </w:tcPr>
          <w:p>
            <w:pPr>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货物或服务名称</w:t>
            </w:r>
          </w:p>
        </w:tc>
        <w:tc>
          <w:tcPr>
            <w:tcW w:w="2706" w:type="dxa"/>
            <w:vAlign w:val="center"/>
          </w:tcPr>
          <w:p>
            <w:pPr>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招标文件要求</w:t>
            </w:r>
          </w:p>
        </w:tc>
        <w:tc>
          <w:tcPr>
            <w:tcW w:w="2720" w:type="dxa"/>
            <w:vAlign w:val="center"/>
          </w:tcPr>
          <w:p>
            <w:pPr>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响应文件响应情况</w:t>
            </w:r>
          </w:p>
        </w:tc>
        <w:tc>
          <w:tcPr>
            <w:tcW w:w="1417" w:type="dxa"/>
            <w:vAlign w:val="center"/>
          </w:tcPr>
          <w:p>
            <w:pPr>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49" w:type="dxa"/>
          </w:tcPr>
          <w:p>
            <w:pPr>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86"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2706"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2720"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417" w:type="dxa"/>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49" w:type="dxa"/>
          </w:tcPr>
          <w:p>
            <w:pPr>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586"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2706"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2720"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417" w:type="dxa"/>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9" w:type="dxa"/>
          </w:tcPr>
          <w:p>
            <w:pPr>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586"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2706"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2720"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417" w:type="dxa"/>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49" w:type="dxa"/>
          </w:tcPr>
          <w:p>
            <w:pPr>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586"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2706"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2720" w:type="dxa"/>
            <w:vAlign w:val="center"/>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c>
          <w:tcPr>
            <w:tcW w:w="1417" w:type="dxa"/>
          </w:tcPr>
          <w:p>
            <w:pPr>
              <w:pageBreakBefore w:val="0"/>
              <w:kinsoku/>
              <w:wordWrap/>
              <w:overflowPunct/>
              <w:topLinePunct w:val="0"/>
              <w:bidi w:val="0"/>
              <w:spacing w:line="360" w:lineRule="auto"/>
              <w:textAlignment w:val="auto"/>
              <w:rPr>
                <w:rFonts w:hint="eastAsia" w:ascii="宋体" w:hAnsi="宋体" w:eastAsia="宋体" w:cs="宋体"/>
                <w:sz w:val="24"/>
                <w:szCs w:val="24"/>
              </w:rPr>
            </w:pPr>
          </w:p>
        </w:tc>
      </w:tr>
    </w:tbl>
    <w:p>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1.供应商提交的响应文件中与招标文件第三部分“项目需求说明”中的商务、技术部分的要求有不同时，应逐条填列在偏离表中，否则将认为供应商接受招标文件的所有要求。完全响应部分不填。</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2.“偏离说明”一栏选择“正偏离”、“负偏离”进行填写。正偏离的确认和负偏离的是否相应招标文件，经三分之二评委认定。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3.供应商如果虚假响应，将承担被暂停参加采购人组织政府采购活动的风险。</w:t>
      </w:r>
    </w:p>
    <w:p>
      <w:pPr>
        <w:pStyle w:val="5"/>
        <w:pageBreakBefore w:val="0"/>
        <w:tabs>
          <w:tab w:val="left" w:pos="3852"/>
        </w:tabs>
        <w:kinsoku/>
        <w:wordWrap/>
        <w:overflowPunct/>
        <w:topLinePunct w:val="0"/>
        <w:bidi w:val="0"/>
        <w:spacing w:line="36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4.供应商若提供其他增值服务，可以在表中自行据实填写。</w:t>
      </w:r>
      <w:bookmarkStart w:id="20" w:name="_Toc105579206"/>
    </w:p>
    <w:bookmarkEnd w:id="20"/>
    <w:p>
      <w:pPr>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bookmarkStart w:id="21" w:name="_Toc29140"/>
      <w:bookmarkStart w:id="22" w:name="_Toc21360"/>
      <w:bookmarkStart w:id="23" w:name="_Toc11031"/>
      <w:bookmarkStart w:id="24" w:name="_Toc468781351"/>
    </w:p>
    <w:p>
      <w:pPr>
        <w:pageBreakBefore w:val="0"/>
        <w:kinsoku/>
        <w:wordWrap/>
        <w:overflowPunct/>
        <w:topLinePunct w:val="0"/>
        <w:autoSpaceDE w:val="0"/>
        <w:autoSpaceDN w:val="0"/>
        <w:bidi w:val="0"/>
        <w:snapToGrid w:val="0"/>
        <w:spacing w:line="360" w:lineRule="auto"/>
        <w:ind w:left="120" w:leftChars="50" w:firstLine="480" w:firstLineChars="200"/>
        <w:textAlignment w:val="auto"/>
        <w:rPr>
          <w:rFonts w:hint="eastAsia" w:ascii="宋体" w:hAnsi="宋体" w:eastAsia="宋体" w:cs="宋体"/>
          <w:sz w:val="24"/>
          <w:szCs w:val="24"/>
          <w:lang w:eastAsia="zh-CN"/>
        </w:rPr>
      </w:pPr>
    </w:p>
    <w:bookmarkEnd w:id="21"/>
    <w:bookmarkEnd w:id="22"/>
    <w:bookmarkEnd w:id="23"/>
    <w:p>
      <w:pPr>
        <w:pageBreakBefore w:val="0"/>
        <w:kinsoku/>
        <w:wordWrap/>
        <w:overflowPunct/>
        <w:topLinePunct w:val="0"/>
        <w:bidi w:val="0"/>
        <w:spacing w:before="120" w:after="120" w:line="360" w:lineRule="auto"/>
        <w:ind w:firstLine="562" w:firstLineChars="200"/>
        <w:textAlignment w:val="auto"/>
        <w:rPr>
          <w:rFonts w:hint="eastAsia" w:ascii="宋体" w:hAnsi="宋体" w:eastAsia="宋体" w:cs="宋体"/>
          <w:sz w:val="24"/>
          <w:szCs w:val="24"/>
          <w:lang w:eastAsia="zh-CN"/>
        </w:rPr>
      </w:pPr>
      <w:r>
        <w:rPr>
          <w:rFonts w:hint="eastAsia" w:ascii="宋体" w:hAnsi="宋体" w:eastAsia="宋体" w:cs="宋体"/>
          <w:b/>
          <w:spacing w:val="20"/>
          <w:sz w:val="24"/>
          <w:szCs w:val="24"/>
          <w:lang w:eastAsia="zh-CN"/>
        </w:rPr>
        <w:br w:type="page"/>
      </w:r>
    </w:p>
    <w:p>
      <w:pPr>
        <w:pageBreakBefore w:val="0"/>
        <w:widowControl/>
        <w:shd w:val="clear" w:color="auto" w:fill="FFFFFF"/>
        <w:kinsoku/>
        <w:wordWrap/>
        <w:overflowPunct/>
        <w:topLinePunct w:val="0"/>
        <w:bidi w:val="0"/>
        <w:spacing w:line="360" w:lineRule="auto"/>
        <w:jc w:val="center"/>
        <w:textAlignment w:val="auto"/>
        <w:rPr>
          <w:rFonts w:hint="eastAsia" w:ascii="宋体" w:hAnsi="宋体" w:eastAsia="宋体" w:cs="宋体"/>
          <w:b/>
          <w:sz w:val="24"/>
          <w:szCs w:val="24"/>
        </w:rPr>
      </w:pPr>
      <w:bookmarkStart w:id="25" w:name="_Toc15854"/>
      <w:bookmarkStart w:id="26" w:name="_Toc9094"/>
      <w:r>
        <w:rPr>
          <w:rFonts w:hint="eastAsia" w:ascii="宋体" w:hAnsi="宋体" w:eastAsia="宋体" w:cs="宋体"/>
          <w:b/>
          <w:sz w:val="24"/>
          <w:szCs w:val="24"/>
          <w:lang w:eastAsia="zh-CN"/>
        </w:rPr>
        <w:t>附件</w:t>
      </w:r>
      <w:r>
        <w:rPr>
          <w:rFonts w:hint="eastAsia" w:ascii="宋体" w:hAnsi="宋体" w:eastAsia="宋体" w:cs="宋体"/>
          <w:b/>
          <w:sz w:val="24"/>
          <w:szCs w:val="24"/>
          <w:lang w:val="en-US" w:eastAsia="zh-CN"/>
        </w:rPr>
        <w:t>10</w:t>
      </w:r>
      <w:r>
        <w:rPr>
          <w:rFonts w:hint="eastAsia" w:ascii="宋体" w:hAnsi="宋体" w:eastAsia="宋体" w:cs="宋体"/>
          <w:b/>
          <w:sz w:val="24"/>
          <w:szCs w:val="24"/>
        </w:rPr>
        <w:t>：报价总表</w:t>
      </w:r>
    </w:p>
    <w:bookmarkEnd w:id="24"/>
    <w:bookmarkEnd w:id="25"/>
    <w:bookmarkEnd w:id="26"/>
    <w:p>
      <w:pPr>
        <w:pStyle w:val="2"/>
        <w:ind w:firstLine="420"/>
        <w:jc w:val="center"/>
        <w:rPr>
          <w:rFonts w:hint="default" w:eastAsiaTheme="minorEastAsia"/>
          <w:lang w:val="en-US" w:eastAsia="zh-CN"/>
        </w:rPr>
      </w:pPr>
      <w:bookmarkStart w:id="27" w:name="_Toc21598"/>
      <w:bookmarkStart w:id="28" w:name="_Toc13843"/>
      <w:bookmarkStart w:id="29" w:name="_Toc24338"/>
      <w:r>
        <w:rPr>
          <w:rFonts w:hint="eastAsia"/>
          <w:lang w:val="en-US" w:eastAsia="zh-CN"/>
        </w:rPr>
        <w:t>磋商报价表(首次）</w:t>
      </w:r>
    </w:p>
    <w:tbl>
      <w:tblPr>
        <w:tblStyle w:val="15"/>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 w:val="24"/>
                <w:szCs w:val="20"/>
              </w:rPr>
            </w:pPr>
            <w:r>
              <w:rPr>
                <w:sz w:val="24"/>
                <w:szCs w:val="20"/>
              </w:rPr>
              <w:t>项目编号</w:t>
            </w:r>
          </w:p>
        </w:tc>
        <w:tc>
          <w:tcPr>
            <w:tcW w:w="7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 w:val="24"/>
                <w:szCs w:val="20"/>
              </w:rPr>
            </w:pPr>
            <w:r>
              <w:rPr>
                <w:sz w:val="24"/>
                <w:szCs w:val="20"/>
                <w:lang w:bidi="ar"/>
              </w:rPr>
              <w:t>项目名称</w:t>
            </w:r>
          </w:p>
        </w:tc>
        <w:tc>
          <w:tcPr>
            <w:tcW w:w="7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 w:val="24"/>
                <w:szCs w:val="20"/>
                <w:lang w:bidi="ar"/>
              </w:rPr>
            </w:pPr>
            <w:r>
              <w:rPr>
                <w:sz w:val="24"/>
                <w:szCs w:val="20"/>
                <w:lang w:bidi="ar"/>
              </w:rPr>
              <w:t>磋商报价总计</w:t>
            </w:r>
          </w:p>
          <w:p>
            <w:pPr>
              <w:spacing w:line="440" w:lineRule="exact"/>
              <w:jc w:val="center"/>
              <w:rPr>
                <w:sz w:val="24"/>
                <w:szCs w:val="20"/>
                <w:lang w:bidi="ar"/>
              </w:rPr>
            </w:pPr>
            <w:r>
              <w:rPr>
                <w:sz w:val="24"/>
                <w:szCs w:val="20"/>
                <w:lang w:bidi="ar"/>
              </w:rPr>
              <w:t>（首次）</w:t>
            </w:r>
          </w:p>
        </w:tc>
        <w:tc>
          <w:tcPr>
            <w:tcW w:w="7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left="2880" w:hanging="2880" w:hangingChars="1200"/>
              <w:jc w:val="left"/>
              <w:rPr>
                <w:lang w:bidi="ar"/>
              </w:rPr>
            </w:pPr>
            <w:r>
              <w:rPr>
                <w:sz w:val="24"/>
                <w:szCs w:val="20"/>
                <w:lang w:bidi="ar"/>
              </w:rPr>
              <w:t>人民币（大写）：</w:t>
            </w:r>
            <w:r>
              <w:rPr>
                <w:sz w:val="24"/>
                <w:szCs w:val="20"/>
                <w:u w:val="single"/>
                <w:lang w:bidi="ar"/>
              </w:rPr>
              <w:t xml:space="preserve">                          </w:t>
            </w:r>
            <w:r>
              <w:rPr>
                <w:sz w:val="24"/>
                <w:szCs w:val="20"/>
                <w:lang w:bidi="ar"/>
              </w:rPr>
              <w:t>，¥</w:t>
            </w:r>
            <w:r>
              <w:rPr>
                <w:sz w:val="24"/>
                <w:szCs w:val="20"/>
                <w:u w:val="single"/>
                <w:lang w:bidi="ar"/>
              </w:rPr>
              <w:t xml:space="preserve">            </w:t>
            </w:r>
            <w:r>
              <w:rPr>
                <w:rFonts w:hint="eastAsia"/>
                <w:sz w:val="24"/>
                <w:szCs w:val="20"/>
                <w:u w:val="none"/>
                <w:lang w:val="en-US" w:eastAsia="zh-CN" w:bidi="ar"/>
              </w:rPr>
              <w:t>/年</w:t>
            </w:r>
            <w:r>
              <w:rPr>
                <w:sz w:val="24"/>
                <w:szCs w:val="20"/>
                <w:lang w:bidi="ar"/>
              </w:rPr>
              <w:t>。</w:t>
            </w:r>
          </w:p>
        </w:tc>
      </w:tr>
    </w:tbl>
    <w:p>
      <w:pPr>
        <w:snapToGrid w:val="0"/>
        <w:spacing w:line="520" w:lineRule="exact"/>
        <w:jc w:val="right"/>
        <w:outlineLvl w:val="3"/>
        <w:rPr>
          <w:sz w:val="24"/>
        </w:rPr>
      </w:pPr>
    </w:p>
    <w:p>
      <w:pPr>
        <w:snapToGrid w:val="0"/>
        <w:spacing w:line="520" w:lineRule="exact"/>
        <w:jc w:val="right"/>
        <w:outlineLvl w:val="3"/>
        <w:rPr>
          <w:sz w:val="24"/>
        </w:rPr>
      </w:pPr>
      <w:r>
        <w:rPr>
          <w:sz w:val="24"/>
        </w:rPr>
        <w:t>供应商名称：</w:t>
      </w:r>
      <w:r>
        <w:rPr>
          <w:sz w:val="24"/>
          <w:u w:val="single"/>
        </w:rPr>
        <w:t xml:space="preserve">                    </w:t>
      </w:r>
      <w:r>
        <w:rPr>
          <w:sz w:val="24"/>
        </w:rPr>
        <w:t>（加盖公章）</w:t>
      </w:r>
    </w:p>
    <w:p>
      <w:pPr>
        <w:snapToGrid w:val="0"/>
        <w:spacing w:line="520" w:lineRule="exact"/>
        <w:jc w:val="right"/>
        <w:outlineLvl w:val="3"/>
        <w:rPr>
          <w:sz w:val="24"/>
        </w:rPr>
      </w:pPr>
      <w:r>
        <w:rPr>
          <w:sz w:val="24"/>
        </w:rPr>
        <w:t>法定代表人或被授权人：</w:t>
      </w:r>
      <w:r>
        <w:rPr>
          <w:sz w:val="24"/>
          <w:u w:val="single"/>
        </w:rPr>
        <w:t xml:space="preserve">        </w:t>
      </w:r>
      <w:r>
        <w:rPr>
          <w:sz w:val="24"/>
        </w:rPr>
        <w:t>（签字或盖章）</w:t>
      </w:r>
    </w:p>
    <w:p>
      <w:pPr>
        <w:kinsoku w:val="0"/>
        <w:topLinePunct/>
        <w:snapToGrid w:val="0"/>
        <w:spacing w:line="520" w:lineRule="exact"/>
        <w:ind w:firstLine="4080" w:firstLineChars="1700"/>
        <w:rPr>
          <w:sz w:val="24"/>
        </w:rPr>
      </w:pPr>
      <w:r>
        <w:rPr>
          <w:sz w:val="24"/>
        </w:rPr>
        <w:t>日期：</w:t>
      </w:r>
    </w:p>
    <w:p>
      <w:pPr>
        <w:kinsoku w:val="0"/>
        <w:topLinePunct/>
        <w:snapToGrid w:val="0"/>
        <w:spacing w:line="520" w:lineRule="exact"/>
        <w:rPr>
          <w:b/>
          <w:sz w:val="24"/>
        </w:rPr>
      </w:pPr>
      <w:r>
        <w:rPr>
          <w:b/>
          <w:sz w:val="24"/>
        </w:rPr>
        <w:t>注：</w:t>
      </w:r>
    </w:p>
    <w:p>
      <w:pPr>
        <w:numPr>
          <w:ilvl w:val="0"/>
          <w:numId w:val="1"/>
        </w:numPr>
        <w:kinsoku w:val="0"/>
        <w:topLinePunct/>
        <w:snapToGrid w:val="0"/>
        <w:spacing w:line="520" w:lineRule="exact"/>
        <w:rPr>
          <w:sz w:val="24"/>
        </w:rPr>
      </w:pPr>
      <w:r>
        <w:rPr>
          <w:sz w:val="24"/>
        </w:rPr>
        <w:t xml:space="preserve"> 本表为格式表，不得自行改动，必须提供。</w:t>
      </w:r>
    </w:p>
    <w:p>
      <w:pPr>
        <w:numPr>
          <w:ilvl w:val="0"/>
          <w:numId w:val="1"/>
        </w:numPr>
        <w:kinsoku w:val="0"/>
        <w:topLinePunct/>
        <w:snapToGrid w:val="0"/>
        <w:spacing w:line="520" w:lineRule="exact"/>
        <w:rPr>
          <w:sz w:val="24"/>
        </w:rPr>
      </w:pPr>
      <w:r>
        <w:rPr>
          <w:sz w:val="24"/>
        </w:rPr>
        <w:t>投标总报价（以人民币计价）应</w:t>
      </w:r>
      <w:r>
        <w:rPr>
          <w:color w:val="000000"/>
          <w:sz w:val="24"/>
        </w:rPr>
        <w:t>包括</w:t>
      </w:r>
      <w:r>
        <w:rPr>
          <w:sz w:val="24"/>
        </w:rPr>
        <w:t>所有组成部分的日常运行维护服务、质量控制、故障维修、仪器调试、数据审核、分析报告的编写和上报、备件、耗材供应、应急服务、人工、差旅、运输、装卸、通信、保险、各种税费等一切费用。</w:t>
      </w:r>
      <w:r>
        <w:rPr>
          <w:bCs/>
          <w:sz w:val="24"/>
        </w:rPr>
        <w:t>即包含响应磋商文件采购要求和为完成本项目服务所发生的全部费用。</w:t>
      </w:r>
    </w:p>
    <w:p>
      <w:pPr>
        <w:numPr>
          <w:ilvl w:val="0"/>
          <w:numId w:val="1"/>
        </w:numPr>
        <w:kinsoku w:val="0"/>
        <w:topLinePunct/>
        <w:snapToGrid w:val="0"/>
        <w:spacing w:line="520" w:lineRule="exact"/>
        <w:rPr>
          <w:sz w:val="24"/>
        </w:rPr>
      </w:pPr>
      <w:r>
        <w:rPr>
          <w:b/>
          <w:color w:val="FF0000"/>
          <w:sz w:val="24"/>
        </w:rPr>
        <w:t>第二次报价在开标现场填写，磋商响应文件密封提交时只需填写首次磋商报价。</w:t>
      </w:r>
    </w:p>
    <w:bookmarkEnd w:id="27"/>
    <w:bookmarkEnd w:id="28"/>
    <w:bookmarkEnd w:id="29"/>
    <w:p>
      <w:pPr>
        <w:pageBreakBefore w:val="0"/>
        <w:kinsoku/>
        <w:wordWrap/>
        <w:overflowPunct/>
        <w:topLinePunct w:val="0"/>
        <w:bidi w:val="0"/>
        <w:spacing w:line="360" w:lineRule="auto"/>
        <w:jc w:val="center"/>
        <w:textAlignment w:val="auto"/>
        <w:outlineLvl w:val="3"/>
        <w:rPr>
          <w:rFonts w:hint="eastAsia" w:ascii="宋体" w:hAnsi="宋体" w:eastAsia="宋体" w:cs="宋体"/>
          <w:sz w:val="24"/>
          <w:szCs w:val="24"/>
          <w:lang w:eastAsia="zh-CN"/>
        </w:rPr>
      </w:pPr>
    </w:p>
    <w:sectPr>
      <w:headerReference r:id="rId5" w:type="default"/>
      <w:footerReference r:id="rId6" w:type="default"/>
      <w:pgSz w:w="11906" w:h="16838"/>
      <w:pgMar w:top="1418" w:right="1418" w:bottom="1418" w:left="1701" w:header="851" w:footer="992" w:gutter="0"/>
      <w:cols w:space="425" w:num="1"/>
      <w:titlePg/>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pPr>
              <w:pStyle w:val="12"/>
              <w:jc w:val="center"/>
              <w:rPr>
                <w:rFonts w:ascii="仿宋" w:hAnsi="仿宋" w:eastAsia="仿宋"/>
                <w:sz w:val="21"/>
                <w:szCs w:val="21"/>
              </w:rPr>
            </w:pPr>
            <w:r>
              <w:rPr>
                <w:rFonts w:ascii="仿宋" w:hAnsi="仿宋" w:eastAsia="仿宋"/>
                <w:sz w:val="21"/>
                <w:szCs w:val="21"/>
                <w:lang w:val="zh-CN"/>
              </w:rPr>
              <w:t xml:space="preserve"> </w:t>
            </w: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12</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36</w:t>
            </w:r>
            <w:r>
              <w:rPr>
                <w:rFonts w:ascii="仿宋" w:hAnsi="仿宋" w:eastAsia="仿宋"/>
                <w:bCs/>
                <w:sz w:val="21"/>
                <w:szCs w:val="21"/>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left" w:pos="1046"/>
      </w:tabs>
      <w:jc w:val="left"/>
      <w:rPr>
        <w:rFonts w:hint="eastAsia"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9"/>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wZTJhMmFmYzZlN2VjOTY4NmY5MWM4ZWM1YTkxMjAifQ=="/>
  </w:docVars>
  <w:rsids>
    <w:rsidRoot w:val="000E6F62"/>
    <w:rsid w:val="00004E97"/>
    <w:rsid w:val="00013918"/>
    <w:rsid w:val="00014E20"/>
    <w:rsid w:val="00015B78"/>
    <w:rsid w:val="00020E06"/>
    <w:rsid w:val="00022DCC"/>
    <w:rsid w:val="0003374E"/>
    <w:rsid w:val="00036BEA"/>
    <w:rsid w:val="00036F61"/>
    <w:rsid w:val="00040ADA"/>
    <w:rsid w:val="00050DB4"/>
    <w:rsid w:val="000518D6"/>
    <w:rsid w:val="00055922"/>
    <w:rsid w:val="00063A5B"/>
    <w:rsid w:val="00063C87"/>
    <w:rsid w:val="00075A32"/>
    <w:rsid w:val="00080100"/>
    <w:rsid w:val="00082610"/>
    <w:rsid w:val="00086D68"/>
    <w:rsid w:val="0009178F"/>
    <w:rsid w:val="00096B3F"/>
    <w:rsid w:val="000A05EE"/>
    <w:rsid w:val="000A3992"/>
    <w:rsid w:val="000B5552"/>
    <w:rsid w:val="000B5C05"/>
    <w:rsid w:val="000C5004"/>
    <w:rsid w:val="000D395B"/>
    <w:rsid w:val="000E0DB6"/>
    <w:rsid w:val="000E0E7A"/>
    <w:rsid w:val="000E6F62"/>
    <w:rsid w:val="000F4B3B"/>
    <w:rsid w:val="000F4D77"/>
    <w:rsid w:val="000F6D21"/>
    <w:rsid w:val="00105E58"/>
    <w:rsid w:val="00106242"/>
    <w:rsid w:val="0011100F"/>
    <w:rsid w:val="001113EE"/>
    <w:rsid w:val="00111BCB"/>
    <w:rsid w:val="0011268C"/>
    <w:rsid w:val="00112E94"/>
    <w:rsid w:val="0011414A"/>
    <w:rsid w:val="00124729"/>
    <w:rsid w:val="001336FE"/>
    <w:rsid w:val="001370AA"/>
    <w:rsid w:val="00142439"/>
    <w:rsid w:val="001464D8"/>
    <w:rsid w:val="00150486"/>
    <w:rsid w:val="0015162F"/>
    <w:rsid w:val="001559F8"/>
    <w:rsid w:val="001666EB"/>
    <w:rsid w:val="00170854"/>
    <w:rsid w:val="001722E3"/>
    <w:rsid w:val="00174A37"/>
    <w:rsid w:val="00175215"/>
    <w:rsid w:val="00175C52"/>
    <w:rsid w:val="00177D2B"/>
    <w:rsid w:val="001822BA"/>
    <w:rsid w:val="001853E7"/>
    <w:rsid w:val="00185A07"/>
    <w:rsid w:val="001860DC"/>
    <w:rsid w:val="00191EAD"/>
    <w:rsid w:val="00192B1F"/>
    <w:rsid w:val="00197311"/>
    <w:rsid w:val="001A3364"/>
    <w:rsid w:val="001A4A71"/>
    <w:rsid w:val="001A4F4D"/>
    <w:rsid w:val="001B0CE9"/>
    <w:rsid w:val="001B11E9"/>
    <w:rsid w:val="001B1C4D"/>
    <w:rsid w:val="001B7885"/>
    <w:rsid w:val="001B7E64"/>
    <w:rsid w:val="001D5CFB"/>
    <w:rsid w:val="001D7463"/>
    <w:rsid w:val="001E66C7"/>
    <w:rsid w:val="001E7C03"/>
    <w:rsid w:val="00201184"/>
    <w:rsid w:val="00204702"/>
    <w:rsid w:val="00210990"/>
    <w:rsid w:val="00220170"/>
    <w:rsid w:val="00221D85"/>
    <w:rsid w:val="00222FBA"/>
    <w:rsid w:val="00225C7D"/>
    <w:rsid w:val="002273FD"/>
    <w:rsid w:val="0023042F"/>
    <w:rsid w:val="00232F01"/>
    <w:rsid w:val="00233560"/>
    <w:rsid w:val="00233FE1"/>
    <w:rsid w:val="00237A2D"/>
    <w:rsid w:val="00240B0D"/>
    <w:rsid w:val="002429D0"/>
    <w:rsid w:val="0024599D"/>
    <w:rsid w:val="00261194"/>
    <w:rsid w:val="00265524"/>
    <w:rsid w:val="00265FCF"/>
    <w:rsid w:val="002747B9"/>
    <w:rsid w:val="00275FC1"/>
    <w:rsid w:val="00277908"/>
    <w:rsid w:val="0028127F"/>
    <w:rsid w:val="002820A5"/>
    <w:rsid w:val="002834A0"/>
    <w:rsid w:val="0028408A"/>
    <w:rsid w:val="00286315"/>
    <w:rsid w:val="00297678"/>
    <w:rsid w:val="002A0E45"/>
    <w:rsid w:val="002D014C"/>
    <w:rsid w:val="002D0159"/>
    <w:rsid w:val="002D308A"/>
    <w:rsid w:val="002E1561"/>
    <w:rsid w:val="002E71EE"/>
    <w:rsid w:val="003038AA"/>
    <w:rsid w:val="00306363"/>
    <w:rsid w:val="00307902"/>
    <w:rsid w:val="0031651E"/>
    <w:rsid w:val="00317E31"/>
    <w:rsid w:val="00320D57"/>
    <w:rsid w:val="00324B9A"/>
    <w:rsid w:val="00325C54"/>
    <w:rsid w:val="00326203"/>
    <w:rsid w:val="00334DA9"/>
    <w:rsid w:val="0036139F"/>
    <w:rsid w:val="0036715D"/>
    <w:rsid w:val="003700F4"/>
    <w:rsid w:val="00372164"/>
    <w:rsid w:val="00374C1B"/>
    <w:rsid w:val="003759EC"/>
    <w:rsid w:val="00375B89"/>
    <w:rsid w:val="00377622"/>
    <w:rsid w:val="003862A9"/>
    <w:rsid w:val="00392718"/>
    <w:rsid w:val="00392ADA"/>
    <w:rsid w:val="00392E5B"/>
    <w:rsid w:val="003930C1"/>
    <w:rsid w:val="003A6A4F"/>
    <w:rsid w:val="003B4D50"/>
    <w:rsid w:val="003B5E4D"/>
    <w:rsid w:val="003C6652"/>
    <w:rsid w:val="003C7835"/>
    <w:rsid w:val="003D594B"/>
    <w:rsid w:val="003F083D"/>
    <w:rsid w:val="00401F5D"/>
    <w:rsid w:val="00407863"/>
    <w:rsid w:val="004135A5"/>
    <w:rsid w:val="00416009"/>
    <w:rsid w:val="004164E4"/>
    <w:rsid w:val="004204C9"/>
    <w:rsid w:val="00421B7B"/>
    <w:rsid w:val="00423225"/>
    <w:rsid w:val="004341FD"/>
    <w:rsid w:val="00434385"/>
    <w:rsid w:val="004437C6"/>
    <w:rsid w:val="00443B99"/>
    <w:rsid w:val="004601D7"/>
    <w:rsid w:val="00465A03"/>
    <w:rsid w:val="00467212"/>
    <w:rsid w:val="004721D5"/>
    <w:rsid w:val="00476E76"/>
    <w:rsid w:val="00476F77"/>
    <w:rsid w:val="00486452"/>
    <w:rsid w:val="00494F68"/>
    <w:rsid w:val="004A115E"/>
    <w:rsid w:val="004A511A"/>
    <w:rsid w:val="004A557C"/>
    <w:rsid w:val="004B06C2"/>
    <w:rsid w:val="004B37AE"/>
    <w:rsid w:val="004B622B"/>
    <w:rsid w:val="004D14F1"/>
    <w:rsid w:val="004D2635"/>
    <w:rsid w:val="004D469A"/>
    <w:rsid w:val="004D4E65"/>
    <w:rsid w:val="004D6C61"/>
    <w:rsid w:val="004E1EB9"/>
    <w:rsid w:val="004E28E0"/>
    <w:rsid w:val="004E3AB1"/>
    <w:rsid w:val="004E42DF"/>
    <w:rsid w:val="004E58DC"/>
    <w:rsid w:val="004E5B84"/>
    <w:rsid w:val="004F2EAC"/>
    <w:rsid w:val="004F4C67"/>
    <w:rsid w:val="00503209"/>
    <w:rsid w:val="00505F22"/>
    <w:rsid w:val="0051378A"/>
    <w:rsid w:val="005201FA"/>
    <w:rsid w:val="00524FB0"/>
    <w:rsid w:val="00527624"/>
    <w:rsid w:val="00532A6C"/>
    <w:rsid w:val="005424AE"/>
    <w:rsid w:val="005444C5"/>
    <w:rsid w:val="00544B8F"/>
    <w:rsid w:val="00546F31"/>
    <w:rsid w:val="005653B6"/>
    <w:rsid w:val="00566096"/>
    <w:rsid w:val="0057011D"/>
    <w:rsid w:val="00571081"/>
    <w:rsid w:val="00572285"/>
    <w:rsid w:val="00572EBD"/>
    <w:rsid w:val="0057483E"/>
    <w:rsid w:val="00577F45"/>
    <w:rsid w:val="00587C6A"/>
    <w:rsid w:val="00591B9F"/>
    <w:rsid w:val="005930C7"/>
    <w:rsid w:val="005A1859"/>
    <w:rsid w:val="005A5307"/>
    <w:rsid w:val="005A6FA6"/>
    <w:rsid w:val="005B7637"/>
    <w:rsid w:val="005C0B6A"/>
    <w:rsid w:val="005C28A8"/>
    <w:rsid w:val="005F375E"/>
    <w:rsid w:val="005F5707"/>
    <w:rsid w:val="006012FB"/>
    <w:rsid w:val="006016D7"/>
    <w:rsid w:val="00605498"/>
    <w:rsid w:val="00607375"/>
    <w:rsid w:val="00614E51"/>
    <w:rsid w:val="00615533"/>
    <w:rsid w:val="006213BD"/>
    <w:rsid w:val="00621708"/>
    <w:rsid w:val="00622680"/>
    <w:rsid w:val="00622E05"/>
    <w:rsid w:val="006236FA"/>
    <w:rsid w:val="00626E09"/>
    <w:rsid w:val="00627DE4"/>
    <w:rsid w:val="00630181"/>
    <w:rsid w:val="00631C94"/>
    <w:rsid w:val="0063267B"/>
    <w:rsid w:val="0063654D"/>
    <w:rsid w:val="00643D29"/>
    <w:rsid w:val="006448DA"/>
    <w:rsid w:val="00646012"/>
    <w:rsid w:val="006572DD"/>
    <w:rsid w:val="006640AB"/>
    <w:rsid w:val="0067446B"/>
    <w:rsid w:val="00687070"/>
    <w:rsid w:val="00692F88"/>
    <w:rsid w:val="006A0827"/>
    <w:rsid w:val="006A0CDD"/>
    <w:rsid w:val="006B061A"/>
    <w:rsid w:val="006B1D46"/>
    <w:rsid w:val="006B459C"/>
    <w:rsid w:val="006B5DEC"/>
    <w:rsid w:val="006C48CE"/>
    <w:rsid w:val="006C5575"/>
    <w:rsid w:val="006D1996"/>
    <w:rsid w:val="006D35DA"/>
    <w:rsid w:val="006E40D5"/>
    <w:rsid w:val="006E74B3"/>
    <w:rsid w:val="006F5CD4"/>
    <w:rsid w:val="007000B1"/>
    <w:rsid w:val="007110F4"/>
    <w:rsid w:val="0071219F"/>
    <w:rsid w:val="007178A7"/>
    <w:rsid w:val="00720646"/>
    <w:rsid w:val="00732C6B"/>
    <w:rsid w:val="007339D9"/>
    <w:rsid w:val="007359E8"/>
    <w:rsid w:val="007534E0"/>
    <w:rsid w:val="00764502"/>
    <w:rsid w:val="00766B5B"/>
    <w:rsid w:val="00766BD1"/>
    <w:rsid w:val="00770F07"/>
    <w:rsid w:val="007724B6"/>
    <w:rsid w:val="00773F66"/>
    <w:rsid w:val="00780216"/>
    <w:rsid w:val="007840C5"/>
    <w:rsid w:val="00784D05"/>
    <w:rsid w:val="00784F04"/>
    <w:rsid w:val="0078613B"/>
    <w:rsid w:val="00796C7D"/>
    <w:rsid w:val="007B0005"/>
    <w:rsid w:val="007B1811"/>
    <w:rsid w:val="007B1CB4"/>
    <w:rsid w:val="007B6089"/>
    <w:rsid w:val="007B60F4"/>
    <w:rsid w:val="007C4CC9"/>
    <w:rsid w:val="007C6FC1"/>
    <w:rsid w:val="007D0FC1"/>
    <w:rsid w:val="007D5B83"/>
    <w:rsid w:val="007E4A5E"/>
    <w:rsid w:val="007E5588"/>
    <w:rsid w:val="007F26AD"/>
    <w:rsid w:val="00801B1B"/>
    <w:rsid w:val="008060E0"/>
    <w:rsid w:val="008067BF"/>
    <w:rsid w:val="00806DAE"/>
    <w:rsid w:val="0080763E"/>
    <w:rsid w:val="00815013"/>
    <w:rsid w:val="0082443B"/>
    <w:rsid w:val="00825190"/>
    <w:rsid w:val="0082531E"/>
    <w:rsid w:val="00825F9F"/>
    <w:rsid w:val="008276FC"/>
    <w:rsid w:val="00832450"/>
    <w:rsid w:val="008330D5"/>
    <w:rsid w:val="00833518"/>
    <w:rsid w:val="0083614F"/>
    <w:rsid w:val="00840012"/>
    <w:rsid w:val="00840666"/>
    <w:rsid w:val="008409BF"/>
    <w:rsid w:val="00841747"/>
    <w:rsid w:val="00845517"/>
    <w:rsid w:val="00851E94"/>
    <w:rsid w:val="0085212C"/>
    <w:rsid w:val="0085695B"/>
    <w:rsid w:val="00861D60"/>
    <w:rsid w:val="008655BD"/>
    <w:rsid w:val="00876A9D"/>
    <w:rsid w:val="00886594"/>
    <w:rsid w:val="00890951"/>
    <w:rsid w:val="0089454B"/>
    <w:rsid w:val="0089647F"/>
    <w:rsid w:val="008A7857"/>
    <w:rsid w:val="008B73FE"/>
    <w:rsid w:val="008B78D5"/>
    <w:rsid w:val="008B7CC2"/>
    <w:rsid w:val="008C08B8"/>
    <w:rsid w:val="008C0963"/>
    <w:rsid w:val="008C360B"/>
    <w:rsid w:val="008C38D2"/>
    <w:rsid w:val="008D09DA"/>
    <w:rsid w:val="008D341F"/>
    <w:rsid w:val="008D52CF"/>
    <w:rsid w:val="008D7CB2"/>
    <w:rsid w:val="008E04EE"/>
    <w:rsid w:val="008E30C1"/>
    <w:rsid w:val="008F30BA"/>
    <w:rsid w:val="008F42B5"/>
    <w:rsid w:val="008F70DC"/>
    <w:rsid w:val="009041D2"/>
    <w:rsid w:val="00905A84"/>
    <w:rsid w:val="00906406"/>
    <w:rsid w:val="00912166"/>
    <w:rsid w:val="00916B05"/>
    <w:rsid w:val="00916FBE"/>
    <w:rsid w:val="00920ECD"/>
    <w:rsid w:val="009230CB"/>
    <w:rsid w:val="00926A3E"/>
    <w:rsid w:val="0093054F"/>
    <w:rsid w:val="00930B8B"/>
    <w:rsid w:val="0093210B"/>
    <w:rsid w:val="0093389D"/>
    <w:rsid w:val="009357AD"/>
    <w:rsid w:val="0094149A"/>
    <w:rsid w:val="00944270"/>
    <w:rsid w:val="00944681"/>
    <w:rsid w:val="00945F3E"/>
    <w:rsid w:val="00952CA9"/>
    <w:rsid w:val="0095762F"/>
    <w:rsid w:val="00962C82"/>
    <w:rsid w:val="00962E3F"/>
    <w:rsid w:val="00965568"/>
    <w:rsid w:val="00966135"/>
    <w:rsid w:val="00966262"/>
    <w:rsid w:val="00972725"/>
    <w:rsid w:val="00973C37"/>
    <w:rsid w:val="00973E6E"/>
    <w:rsid w:val="00975CF3"/>
    <w:rsid w:val="00977A6B"/>
    <w:rsid w:val="00983FC8"/>
    <w:rsid w:val="00992E70"/>
    <w:rsid w:val="00993655"/>
    <w:rsid w:val="009A16A2"/>
    <w:rsid w:val="009A371A"/>
    <w:rsid w:val="009A4B22"/>
    <w:rsid w:val="009A7E50"/>
    <w:rsid w:val="009B2BFF"/>
    <w:rsid w:val="009B348E"/>
    <w:rsid w:val="009B5CF0"/>
    <w:rsid w:val="009B68CF"/>
    <w:rsid w:val="009C69B8"/>
    <w:rsid w:val="009D0385"/>
    <w:rsid w:val="009D2F43"/>
    <w:rsid w:val="009E665C"/>
    <w:rsid w:val="009E7236"/>
    <w:rsid w:val="009F0D3B"/>
    <w:rsid w:val="009F61B1"/>
    <w:rsid w:val="009F6CF6"/>
    <w:rsid w:val="00A005C3"/>
    <w:rsid w:val="00A159DA"/>
    <w:rsid w:val="00A260C2"/>
    <w:rsid w:val="00A30819"/>
    <w:rsid w:val="00A32BC0"/>
    <w:rsid w:val="00A34E21"/>
    <w:rsid w:val="00A40A09"/>
    <w:rsid w:val="00A41166"/>
    <w:rsid w:val="00A474C0"/>
    <w:rsid w:val="00A5409D"/>
    <w:rsid w:val="00A63D4B"/>
    <w:rsid w:val="00A73630"/>
    <w:rsid w:val="00A74AD2"/>
    <w:rsid w:val="00A77047"/>
    <w:rsid w:val="00A77C58"/>
    <w:rsid w:val="00A85D78"/>
    <w:rsid w:val="00A85EB1"/>
    <w:rsid w:val="00A92D91"/>
    <w:rsid w:val="00AA34C3"/>
    <w:rsid w:val="00AA3856"/>
    <w:rsid w:val="00AA5031"/>
    <w:rsid w:val="00AA5C2F"/>
    <w:rsid w:val="00AC20D0"/>
    <w:rsid w:val="00AC24F3"/>
    <w:rsid w:val="00AC27FF"/>
    <w:rsid w:val="00AD1B36"/>
    <w:rsid w:val="00AD2877"/>
    <w:rsid w:val="00AE3B68"/>
    <w:rsid w:val="00AF4143"/>
    <w:rsid w:val="00AF453F"/>
    <w:rsid w:val="00B006CF"/>
    <w:rsid w:val="00B14810"/>
    <w:rsid w:val="00B23EE5"/>
    <w:rsid w:val="00B323E2"/>
    <w:rsid w:val="00B42376"/>
    <w:rsid w:val="00B51543"/>
    <w:rsid w:val="00B52A83"/>
    <w:rsid w:val="00B56583"/>
    <w:rsid w:val="00B62B02"/>
    <w:rsid w:val="00B65BE8"/>
    <w:rsid w:val="00B723D4"/>
    <w:rsid w:val="00B7559A"/>
    <w:rsid w:val="00B7683F"/>
    <w:rsid w:val="00B80378"/>
    <w:rsid w:val="00B85201"/>
    <w:rsid w:val="00B856AD"/>
    <w:rsid w:val="00B87398"/>
    <w:rsid w:val="00B91C5D"/>
    <w:rsid w:val="00B93545"/>
    <w:rsid w:val="00B95987"/>
    <w:rsid w:val="00BA3116"/>
    <w:rsid w:val="00BA3CDB"/>
    <w:rsid w:val="00BB1DAA"/>
    <w:rsid w:val="00BB2C6E"/>
    <w:rsid w:val="00BC0523"/>
    <w:rsid w:val="00BC3426"/>
    <w:rsid w:val="00BC355B"/>
    <w:rsid w:val="00BD1D4D"/>
    <w:rsid w:val="00BE1290"/>
    <w:rsid w:val="00BE5B33"/>
    <w:rsid w:val="00BF05BF"/>
    <w:rsid w:val="00BF166A"/>
    <w:rsid w:val="00BF500D"/>
    <w:rsid w:val="00C00B68"/>
    <w:rsid w:val="00C03114"/>
    <w:rsid w:val="00C045CA"/>
    <w:rsid w:val="00C050B0"/>
    <w:rsid w:val="00C05CA8"/>
    <w:rsid w:val="00C123DF"/>
    <w:rsid w:val="00C17978"/>
    <w:rsid w:val="00C2003F"/>
    <w:rsid w:val="00C2030A"/>
    <w:rsid w:val="00C208FF"/>
    <w:rsid w:val="00C2144B"/>
    <w:rsid w:val="00C22965"/>
    <w:rsid w:val="00C2456B"/>
    <w:rsid w:val="00C2690F"/>
    <w:rsid w:val="00C27C00"/>
    <w:rsid w:val="00C347B5"/>
    <w:rsid w:val="00C347D6"/>
    <w:rsid w:val="00C35588"/>
    <w:rsid w:val="00C36631"/>
    <w:rsid w:val="00C369CB"/>
    <w:rsid w:val="00C42032"/>
    <w:rsid w:val="00C4244E"/>
    <w:rsid w:val="00C4621D"/>
    <w:rsid w:val="00C46DB2"/>
    <w:rsid w:val="00C50F2E"/>
    <w:rsid w:val="00C556B3"/>
    <w:rsid w:val="00C5781A"/>
    <w:rsid w:val="00C57862"/>
    <w:rsid w:val="00C65550"/>
    <w:rsid w:val="00C70F8C"/>
    <w:rsid w:val="00C7194C"/>
    <w:rsid w:val="00C71BD0"/>
    <w:rsid w:val="00C76506"/>
    <w:rsid w:val="00C7682D"/>
    <w:rsid w:val="00C76895"/>
    <w:rsid w:val="00C83F63"/>
    <w:rsid w:val="00C90CDB"/>
    <w:rsid w:val="00C93FFC"/>
    <w:rsid w:val="00C962B3"/>
    <w:rsid w:val="00CA03F1"/>
    <w:rsid w:val="00CA1D43"/>
    <w:rsid w:val="00CA72A2"/>
    <w:rsid w:val="00CC3F4A"/>
    <w:rsid w:val="00CD3863"/>
    <w:rsid w:val="00CD5E46"/>
    <w:rsid w:val="00CE61D9"/>
    <w:rsid w:val="00CE7AEA"/>
    <w:rsid w:val="00CF18D8"/>
    <w:rsid w:val="00CF2678"/>
    <w:rsid w:val="00CF712B"/>
    <w:rsid w:val="00D01815"/>
    <w:rsid w:val="00D20998"/>
    <w:rsid w:val="00D21059"/>
    <w:rsid w:val="00D22D8E"/>
    <w:rsid w:val="00D24294"/>
    <w:rsid w:val="00D25F12"/>
    <w:rsid w:val="00D3420C"/>
    <w:rsid w:val="00D353F6"/>
    <w:rsid w:val="00D36AE4"/>
    <w:rsid w:val="00D3775B"/>
    <w:rsid w:val="00D41D56"/>
    <w:rsid w:val="00D4464A"/>
    <w:rsid w:val="00D45E59"/>
    <w:rsid w:val="00D521BB"/>
    <w:rsid w:val="00D54AAA"/>
    <w:rsid w:val="00D54EF4"/>
    <w:rsid w:val="00D60AA1"/>
    <w:rsid w:val="00D70520"/>
    <w:rsid w:val="00D73179"/>
    <w:rsid w:val="00D81B6A"/>
    <w:rsid w:val="00D824E8"/>
    <w:rsid w:val="00D86AE0"/>
    <w:rsid w:val="00D9248C"/>
    <w:rsid w:val="00D93712"/>
    <w:rsid w:val="00DA1234"/>
    <w:rsid w:val="00DA1D24"/>
    <w:rsid w:val="00DA317F"/>
    <w:rsid w:val="00DA5B97"/>
    <w:rsid w:val="00DB734A"/>
    <w:rsid w:val="00DC0343"/>
    <w:rsid w:val="00DC541D"/>
    <w:rsid w:val="00DC7D58"/>
    <w:rsid w:val="00DD0607"/>
    <w:rsid w:val="00DD3DA2"/>
    <w:rsid w:val="00DD7796"/>
    <w:rsid w:val="00DE54C8"/>
    <w:rsid w:val="00E037E0"/>
    <w:rsid w:val="00E10A9C"/>
    <w:rsid w:val="00E10AFB"/>
    <w:rsid w:val="00E11AB2"/>
    <w:rsid w:val="00E21667"/>
    <w:rsid w:val="00E3262A"/>
    <w:rsid w:val="00E33F48"/>
    <w:rsid w:val="00E35B07"/>
    <w:rsid w:val="00E35B28"/>
    <w:rsid w:val="00E430B6"/>
    <w:rsid w:val="00E4357C"/>
    <w:rsid w:val="00E446C7"/>
    <w:rsid w:val="00E465D5"/>
    <w:rsid w:val="00E51437"/>
    <w:rsid w:val="00E514F0"/>
    <w:rsid w:val="00E624C6"/>
    <w:rsid w:val="00E66C5A"/>
    <w:rsid w:val="00E70608"/>
    <w:rsid w:val="00E8608B"/>
    <w:rsid w:val="00E8651D"/>
    <w:rsid w:val="00E875F2"/>
    <w:rsid w:val="00E905AA"/>
    <w:rsid w:val="00E91607"/>
    <w:rsid w:val="00EA0A32"/>
    <w:rsid w:val="00EA497F"/>
    <w:rsid w:val="00EA6076"/>
    <w:rsid w:val="00EB5564"/>
    <w:rsid w:val="00EC318E"/>
    <w:rsid w:val="00EC3BD0"/>
    <w:rsid w:val="00ED01CB"/>
    <w:rsid w:val="00ED0B56"/>
    <w:rsid w:val="00ED43E6"/>
    <w:rsid w:val="00ED7744"/>
    <w:rsid w:val="00EE09A7"/>
    <w:rsid w:val="00F001C9"/>
    <w:rsid w:val="00F0621B"/>
    <w:rsid w:val="00F069EF"/>
    <w:rsid w:val="00F07319"/>
    <w:rsid w:val="00F1472B"/>
    <w:rsid w:val="00F15F1E"/>
    <w:rsid w:val="00F1649A"/>
    <w:rsid w:val="00F16D99"/>
    <w:rsid w:val="00F24AE3"/>
    <w:rsid w:val="00F2782A"/>
    <w:rsid w:val="00F46BB2"/>
    <w:rsid w:val="00F47367"/>
    <w:rsid w:val="00F568BF"/>
    <w:rsid w:val="00F61659"/>
    <w:rsid w:val="00F61926"/>
    <w:rsid w:val="00F62179"/>
    <w:rsid w:val="00F670AF"/>
    <w:rsid w:val="00F70EDC"/>
    <w:rsid w:val="00F730BB"/>
    <w:rsid w:val="00F82743"/>
    <w:rsid w:val="00FA6B40"/>
    <w:rsid w:val="00FB01ED"/>
    <w:rsid w:val="00FB158B"/>
    <w:rsid w:val="00FB338C"/>
    <w:rsid w:val="00FC5BF0"/>
    <w:rsid w:val="00FC6093"/>
    <w:rsid w:val="00FC7C14"/>
    <w:rsid w:val="00FC7C5B"/>
    <w:rsid w:val="00FD1210"/>
    <w:rsid w:val="00FD255B"/>
    <w:rsid w:val="00FD3D04"/>
    <w:rsid w:val="00FD423D"/>
    <w:rsid w:val="00FD61D3"/>
    <w:rsid w:val="00FE2F3B"/>
    <w:rsid w:val="00FE31DF"/>
    <w:rsid w:val="00FE5C97"/>
    <w:rsid w:val="00FF03ED"/>
    <w:rsid w:val="00FF1D6C"/>
    <w:rsid w:val="00FF43D9"/>
    <w:rsid w:val="00FF4988"/>
    <w:rsid w:val="01A1354A"/>
    <w:rsid w:val="03F743E0"/>
    <w:rsid w:val="04954100"/>
    <w:rsid w:val="0B3B1986"/>
    <w:rsid w:val="11DC68CD"/>
    <w:rsid w:val="145A1DA3"/>
    <w:rsid w:val="169F2BAF"/>
    <w:rsid w:val="1A444BC1"/>
    <w:rsid w:val="1A513B51"/>
    <w:rsid w:val="213F430D"/>
    <w:rsid w:val="22926337"/>
    <w:rsid w:val="255314EA"/>
    <w:rsid w:val="267B32AF"/>
    <w:rsid w:val="275B4401"/>
    <w:rsid w:val="29113C9A"/>
    <w:rsid w:val="29640B3D"/>
    <w:rsid w:val="2D0F4ED5"/>
    <w:rsid w:val="2E434FF4"/>
    <w:rsid w:val="322B7360"/>
    <w:rsid w:val="33E505BB"/>
    <w:rsid w:val="34FE08F1"/>
    <w:rsid w:val="391E10A1"/>
    <w:rsid w:val="396E2E01"/>
    <w:rsid w:val="3A6A3073"/>
    <w:rsid w:val="3C2F0E58"/>
    <w:rsid w:val="3C7F1056"/>
    <w:rsid w:val="3E2401DF"/>
    <w:rsid w:val="3E2A79A7"/>
    <w:rsid w:val="4D0201F3"/>
    <w:rsid w:val="520B0A16"/>
    <w:rsid w:val="52745E37"/>
    <w:rsid w:val="52A54C93"/>
    <w:rsid w:val="52A718C2"/>
    <w:rsid w:val="53157F3E"/>
    <w:rsid w:val="53D74950"/>
    <w:rsid w:val="5A3706B2"/>
    <w:rsid w:val="5C672CC6"/>
    <w:rsid w:val="65856A85"/>
    <w:rsid w:val="6ADD5139"/>
    <w:rsid w:val="6D734597"/>
    <w:rsid w:val="6F4B31F0"/>
    <w:rsid w:val="6F784631"/>
    <w:rsid w:val="6F794A83"/>
    <w:rsid w:val="72410EC4"/>
    <w:rsid w:val="726A385A"/>
    <w:rsid w:val="727E4803"/>
    <w:rsid w:val="7A3F7202"/>
    <w:rsid w:val="7A8776FB"/>
    <w:rsid w:val="7BD978A5"/>
    <w:rsid w:val="7C0C3E10"/>
    <w:rsid w:val="7C29438A"/>
    <w:rsid w:val="7CC43CC7"/>
    <w:rsid w:val="7D9B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Ascii" w:hAnsiTheme="minorAscii" w:eastAsiaTheme="minorEastAsia" w:cstheme="minorBidi"/>
      <w:kern w:val="2"/>
      <w:sz w:val="24"/>
      <w:szCs w:val="22"/>
      <w:lang w:val="en-US" w:eastAsia="zh-CN" w:bidi="ar-SA"/>
    </w:rPr>
  </w:style>
  <w:style w:type="paragraph" w:styleId="5">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28"/>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lang w:val="en-US" w:eastAsia="zh-CN"/>
    </w:r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8">
    <w:name w:val="Normal Indent"/>
    <w:basedOn w:val="1"/>
    <w:link w:val="31"/>
    <w:qFormat/>
    <w:uiPriority w:val="0"/>
    <w:pPr>
      <w:ind w:firstLine="420"/>
    </w:pPr>
  </w:style>
  <w:style w:type="paragraph" w:styleId="9">
    <w:name w:val="annotation text"/>
    <w:basedOn w:val="1"/>
    <w:link w:val="37"/>
    <w:qFormat/>
    <w:uiPriority w:val="0"/>
    <w:pPr>
      <w:jc w:val="left"/>
    </w:pPr>
    <w:rPr>
      <w:rFonts w:ascii="Calibri" w:hAnsi="Calibri" w:eastAsia="宋体" w:cs="Times New Roman"/>
      <w:szCs w:val="24"/>
    </w:rPr>
  </w:style>
  <w:style w:type="paragraph" w:styleId="10">
    <w:name w:val="Body Text"/>
    <w:basedOn w:val="1"/>
    <w:link w:val="33"/>
    <w:qFormat/>
    <w:uiPriority w:val="1"/>
    <w:pPr>
      <w:ind w:left="102"/>
    </w:pPr>
    <w:rPr>
      <w:rFonts w:ascii="仿宋" w:hAnsi="仿宋" w:eastAsia="仿宋"/>
      <w:sz w:val="28"/>
      <w:szCs w:val="28"/>
    </w:rPr>
  </w:style>
  <w:style w:type="paragraph" w:styleId="11">
    <w:name w:val="Balloon Text"/>
    <w:basedOn w:val="1"/>
    <w:link w:val="29"/>
    <w:semiHidden/>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qFormat/>
    <w:uiPriority w:val="0"/>
    <w:pPr>
      <w:adjustRightInd w:val="0"/>
      <w:spacing w:line="312" w:lineRule="atLeast"/>
      <w:jc w:val="left"/>
      <w:textAlignment w:val="baseline"/>
    </w:pPr>
    <w:rPr>
      <w:rFonts w:ascii="Times New Roman" w:hAnsi="Times New Roman"/>
      <w:sz w:val="18"/>
    </w:rPr>
  </w:style>
  <w:style w:type="table" w:styleId="16">
    <w:name w:val="Table Grid"/>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qFormat/>
    <w:uiPriority w:val="0"/>
    <w:rPr>
      <w:sz w:val="21"/>
      <w:szCs w:val="21"/>
    </w:rPr>
  </w:style>
  <w:style w:type="paragraph" w:customStyle="1" w:styleId="19">
    <w:name w:val="正文首行缩进 21"/>
    <w:basedOn w:val="3"/>
    <w:unhideWhenUsed/>
    <w:qFormat/>
    <w:uiPriority w:val="99"/>
    <w:pPr>
      <w:ind w:firstLine="200" w:firstLineChars="200"/>
    </w:pPr>
  </w:style>
  <w:style w:type="character" w:customStyle="1" w:styleId="20">
    <w:name w:val="标题 1 字符"/>
    <w:basedOn w:val="17"/>
    <w:link w:val="5"/>
    <w:qFormat/>
    <w:uiPriority w:val="9"/>
    <w:rPr>
      <w:b/>
      <w:bCs/>
      <w:kern w:val="44"/>
      <w:sz w:val="44"/>
      <w:szCs w:val="44"/>
    </w:rPr>
  </w:style>
  <w:style w:type="table" w:customStyle="1" w:styleId="21">
    <w:name w:val="SGS Table Basic 11"/>
    <w:basedOn w:val="15"/>
    <w:qFormat/>
    <w:uiPriority w:val="0"/>
    <w:pPr>
      <w:ind w:left="709" w:hanging="709"/>
    </w:pPr>
    <w:rPr>
      <w:rFonts w:ascii="Arial" w:hAnsi="Arial" w:cs="Times New Roman"/>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jc w:val="left"/>
      </w:pPr>
      <w:rPr>
        <w:color w:val="FF6600"/>
      </w:rPr>
      <w:tcPr>
        <w:tcBorders>
          <w:bottom w:val="single" w:color="363636" w:sz="12" w:space="0"/>
        </w:tcBorders>
      </w:tcPr>
    </w:tblStylePr>
  </w:style>
  <w:style w:type="character" w:customStyle="1" w:styleId="22">
    <w:name w:val="页眉 字符"/>
    <w:basedOn w:val="17"/>
    <w:link w:val="13"/>
    <w:qFormat/>
    <w:uiPriority w:val="99"/>
    <w:rPr>
      <w:sz w:val="18"/>
      <w:szCs w:val="18"/>
    </w:rPr>
  </w:style>
  <w:style w:type="character" w:customStyle="1" w:styleId="23">
    <w:name w:val="页脚 字符"/>
    <w:basedOn w:val="17"/>
    <w:link w:val="12"/>
    <w:qFormat/>
    <w:uiPriority w:val="99"/>
    <w:rPr>
      <w:sz w:val="18"/>
      <w:szCs w:val="18"/>
    </w:rPr>
  </w:style>
  <w:style w:type="character" w:customStyle="1" w:styleId="24">
    <w:name w:val="NormalCharacter"/>
    <w:qFormat/>
    <w:uiPriority w:val="0"/>
    <w:rPr>
      <w:kern w:val="2"/>
      <w:sz w:val="21"/>
      <w:szCs w:val="22"/>
      <w:lang w:val="en-US" w:eastAsia="zh-CN" w:bidi="ar-SA"/>
    </w:rPr>
  </w:style>
  <w:style w:type="paragraph" w:customStyle="1" w:styleId="25">
    <w:name w:val="列出段落1"/>
    <w:basedOn w:val="1"/>
    <w:qFormat/>
    <w:uiPriority w:val="0"/>
    <w:pPr>
      <w:ind w:firstLine="200" w:firstLineChars="200"/>
    </w:pPr>
    <w:rPr>
      <w:rFonts w:ascii="Calibri" w:hAnsi="Calibri" w:eastAsia="宋体" w:cs="Times New Roman"/>
    </w:rPr>
  </w:style>
  <w:style w:type="paragraph" w:styleId="26">
    <w:name w:val="List Paragraph"/>
    <w:basedOn w:val="1"/>
    <w:qFormat/>
    <w:uiPriority w:val="34"/>
    <w:pPr>
      <w:ind w:firstLine="420"/>
    </w:pPr>
    <w:rPr>
      <w:rFonts w:ascii="Calibri" w:hAnsi="Calibri" w:eastAsia="宋体" w:cs="Times New Roman"/>
      <w:szCs w:val="24"/>
    </w:rPr>
  </w:style>
  <w:style w:type="character" w:customStyle="1" w:styleId="27">
    <w:name w:val="标题 2 字符"/>
    <w:basedOn w:val="17"/>
    <w:link w:val="6"/>
    <w:qFormat/>
    <w:uiPriority w:val="0"/>
    <w:rPr>
      <w:rFonts w:asciiTheme="majorHAnsi" w:hAnsiTheme="majorHAnsi" w:eastAsiaTheme="majorEastAsia" w:cstheme="majorBidi"/>
      <w:b/>
      <w:bCs/>
      <w:sz w:val="32"/>
      <w:szCs w:val="32"/>
    </w:rPr>
  </w:style>
  <w:style w:type="character" w:customStyle="1" w:styleId="28">
    <w:name w:val="标题 3 字符"/>
    <w:basedOn w:val="17"/>
    <w:link w:val="7"/>
    <w:qFormat/>
    <w:uiPriority w:val="0"/>
    <w:rPr>
      <w:b/>
      <w:bCs/>
      <w:sz w:val="32"/>
      <w:szCs w:val="32"/>
    </w:rPr>
  </w:style>
  <w:style w:type="character" w:customStyle="1" w:styleId="29">
    <w:name w:val="批注框文本 字符"/>
    <w:basedOn w:val="17"/>
    <w:link w:val="11"/>
    <w:semiHidden/>
    <w:qFormat/>
    <w:uiPriority w:val="99"/>
    <w:rPr>
      <w:sz w:val="18"/>
      <w:szCs w:val="18"/>
    </w:rPr>
  </w:style>
  <w:style w:type="paragraph" w:customStyle="1" w:styleId="30">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31">
    <w:name w:val="正文缩进 字符"/>
    <w:link w:val="8"/>
    <w:qFormat/>
    <w:uiPriority w:val="0"/>
  </w:style>
  <w:style w:type="paragraph" w:customStyle="1" w:styleId="32">
    <w:name w:val="首行缩进"/>
    <w:basedOn w:val="1"/>
    <w:qFormat/>
    <w:uiPriority w:val="0"/>
    <w:pPr>
      <w:ind w:firstLine="480" w:firstLineChars="200"/>
    </w:pPr>
    <w:rPr>
      <w:rFonts w:ascii="Times New Roman" w:hAnsi="Times New Roman" w:eastAsia="宋体" w:cs="Times New Roman"/>
      <w:szCs w:val="20"/>
      <w:lang w:val="zh-CN"/>
    </w:rPr>
  </w:style>
  <w:style w:type="character" w:customStyle="1" w:styleId="33">
    <w:name w:val="正文文本 字符"/>
    <w:basedOn w:val="17"/>
    <w:link w:val="10"/>
    <w:qFormat/>
    <w:uiPriority w:val="1"/>
    <w:rPr>
      <w:rFonts w:ascii="仿宋" w:hAnsi="仿宋" w:eastAsia="仿宋"/>
      <w:sz w:val="28"/>
      <w:szCs w:val="28"/>
    </w:rPr>
  </w:style>
  <w:style w:type="paragraph" w:customStyle="1" w:styleId="34">
    <w:name w:val="正文1"/>
    <w:basedOn w:val="1"/>
    <w:qFormat/>
    <w:uiPriority w:val="0"/>
    <w:pPr>
      <w:spacing w:line="360" w:lineRule="auto"/>
      <w:ind w:firstLine="361"/>
    </w:pPr>
    <w:rPr>
      <w:rFonts w:ascii="宋体" w:hAnsi="宋体" w:eastAsia="宋体" w:cs="Times New Roman"/>
      <w:szCs w:val="24"/>
    </w:rPr>
  </w:style>
  <w:style w:type="character" w:customStyle="1" w:styleId="35">
    <w:name w:val="正文缩进2格 Char"/>
    <w:link w:val="36"/>
    <w:qFormat/>
    <w:locked/>
    <w:uiPriority w:val="0"/>
    <w:rPr>
      <w:rFonts w:ascii="仿宋_GB2312" w:hAnsi="宋体" w:eastAsia="仿宋_GB2312"/>
      <w:sz w:val="31"/>
      <w:szCs w:val="28"/>
    </w:rPr>
  </w:style>
  <w:style w:type="paragraph" w:customStyle="1" w:styleId="36">
    <w:name w:val="正文缩进2格"/>
    <w:basedOn w:val="1"/>
    <w:link w:val="35"/>
    <w:qFormat/>
    <w:uiPriority w:val="0"/>
    <w:pPr>
      <w:spacing w:line="600" w:lineRule="exact"/>
      <w:ind w:firstLine="639" w:firstLineChars="206"/>
    </w:pPr>
    <w:rPr>
      <w:rFonts w:ascii="仿宋_GB2312" w:hAnsi="宋体" w:eastAsia="仿宋_GB2312"/>
      <w:sz w:val="31"/>
      <w:szCs w:val="28"/>
    </w:rPr>
  </w:style>
  <w:style w:type="character" w:customStyle="1" w:styleId="37">
    <w:name w:val="批注文字 字符"/>
    <w:basedOn w:val="17"/>
    <w:link w:val="9"/>
    <w:qFormat/>
    <w:uiPriority w:val="0"/>
    <w:rPr>
      <w:rFonts w:ascii="Calibri" w:hAnsi="Calibri" w:eastAsia="宋体" w:cs="Times New Roman"/>
      <w:kern w:val="2"/>
      <w:sz w:val="21"/>
      <w:szCs w:val="24"/>
    </w:rPr>
  </w:style>
  <w:style w:type="paragraph" w:customStyle="1" w:styleId="38">
    <w:name w:val="Plain Text"/>
    <w:basedOn w:val="1"/>
    <w:qFormat/>
    <w:uiPriority w:val="0"/>
    <w:rPr>
      <w:rFonts w:ascii="宋体" w:hAnsi="Courier New" w:cs="Courier New"/>
      <w:kern w:val="2"/>
      <w:sz w:val="21"/>
      <w:szCs w:val="21"/>
    </w:rPr>
  </w:style>
  <w:style w:type="paragraph" w:customStyle="1" w:styleId="39">
    <w:name w:val="图文"/>
    <w:basedOn w:val="1"/>
    <w:qFormat/>
    <w:uiPriority w:val="0"/>
    <w:pPr>
      <w:adjustRightInd w:val="0"/>
      <w:snapToGrid w:val="0"/>
      <w:spacing w:after="50" w:line="360" w:lineRule="auto"/>
    </w:pPr>
    <w:rPr>
      <w:sz w:val="24"/>
    </w:rPr>
  </w:style>
  <w:style w:type="paragraph" w:customStyle="1" w:styleId="40">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C4D8-3D74-4771-A6ED-0F61FAE42ACD}">
  <ds:schemaRefs/>
</ds:datastoreItem>
</file>

<file path=docProps/app.xml><?xml version="1.0" encoding="utf-8"?>
<Properties xmlns="http://schemas.openxmlformats.org/officeDocument/2006/extended-properties" xmlns:vt="http://schemas.openxmlformats.org/officeDocument/2006/docPropsVTypes">
  <Template>Normal.dotm</Template>
  <Company>jshl2015</Company>
  <Pages>37</Pages>
  <Words>18823</Words>
  <Characters>19267</Characters>
  <Lines>106</Lines>
  <Paragraphs>30</Paragraphs>
  <TotalTime>38</TotalTime>
  <ScaleCrop>false</ScaleCrop>
  <LinksUpToDate>false</LinksUpToDate>
  <CharactersWithSpaces>19889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2022-05-16T05:40:00Z</dcterms:created>
  <dc:creator>bailing</dc:creator>
  <cp:lastModifiedBy>Administrator</cp:lastModifiedBy>
  <cp:lastPrinted>2022-05-16T05:40:00Z</cp:lastPrinted>
  <dcterms:modified xsi:type="dcterms:W3CDTF">2022-09-07T08:42:19Z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F553EC66C80A462AB93F679FD6F281AC</vt:lpwstr>
  </property>
</Properties>
</file>