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9"/>
        <w:tblpPr w:horzAnchor="margin" w:tblpXSpec="center" w:tblpYSpec="top"/>
        <w:tblOverlap w:val="never"/>
        <w:tblW w:w="0" w:type="auto"/>
        <w:tblInd w:w="0" w:type="dxa"/>
        <w:tblLayout w:type="fixed"/>
        <w:tblCellMar>
          <w:top w:w="0" w:type="dxa"/>
          <w:left w:w="108" w:type="dxa"/>
          <w:bottom w:w="0" w:type="dxa"/>
          <w:right w:w="108" w:type="dxa"/>
        </w:tblCellMar>
      </w:tblPr>
      <w:tblGrid>
        <w:gridCol w:w="8844"/>
      </w:tblGrid>
      <w:tr>
        <w:tblPrEx>
          <w:tblCellMar>
            <w:top w:w="0" w:type="dxa"/>
            <w:left w:w="108" w:type="dxa"/>
            <w:bottom w:w="0" w:type="dxa"/>
            <w:right w:w="108" w:type="dxa"/>
          </w:tblCellMar>
        </w:tblPrEx>
        <w:tc>
          <w:tcPr>
            <w:tcW w:w="8844" w:type="dxa"/>
            <w:tcMar>
              <w:left w:w="0" w:type="dxa"/>
              <w:right w:w="0" w:type="dxa"/>
            </w:tcMar>
          </w:tcPr>
          <w:p>
            <w:pPr>
              <w:pStyle w:val="18"/>
              <w:spacing w:line="600" w:lineRule="exact"/>
              <w:jc w:val="both"/>
              <w:rPr>
                <w:rFonts w:ascii="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18"/>
              <w:spacing w:line="600" w:lineRule="exact"/>
              <w:jc w:val="both"/>
              <w:rPr>
                <w:rFonts w:ascii="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18"/>
              <w:spacing w:line="600" w:lineRule="exact"/>
              <w:jc w:val="both"/>
              <w:rPr>
                <w:rFonts w:ascii="Times New Roman"/>
                <w:color w:val="000000"/>
                <w:sz w:val="32"/>
              </w:rPr>
            </w:pPr>
          </w:p>
        </w:tc>
      </w:tr>
      <w:tr>
        <w:tblPrEx>
          <w:tblCellMar>
            <w:top w:w="0" w:type="dxa"/>
            <w:left w:w="108" w:type="dxa"/>
            <w:bottom w:w="0" w:type="dxa"/>
            <w:right w:w="108" w:type="dxa"/>
          </w:tblCellMar>
        </w:tblPrEx>
        <w:tc>
          <w:tcPr>
            <w:tcW w:w="8844" w:type="dxa"/>
            <w:tcMar>
              <w:left w:w="0" w:type="dxa"/>
              <w:right w:w="0" w:type="dxa"/>
            </w:tcMar>
          </w:tcPr>
          <w:p>
            <w:pPr>
              <w:pStyle w:val="19"/>
              <w:spacing w:before="120" w:after="300" w:line="1300" w:lineRule="atLeast"/>
              <w:rPr>
                <w:rFonts w:ascii="Times New Roman" w:eastAsia="方正小标宋_GBK"/>
                <w:w w:val="50"/>
                <w:sz w:val="130"/>
                <w:szCs w:val="130"/>
              </w:rPr>
            </w:pPr>
            <w:r>
              <w:rPr>
                <w:rFonts w:hint="eastAsia" w:ascii="Times New Roman" w:eastAsia="方正小标宋_GBK"/>
                <w:w w:val="50"/>
                <w:sz w:val="130"/>
                <w:szCs w:val="130"/>
              </w:rPr>
              <w:t>南通市生态环境局文件</w:t>
            </w:r>
          </w:p>
        </w:tc>
      </w:tr>
      <w:tr>
        <w:tblPrEx>
          <w:tblCellMar>
            <w:top w:w="0" w:type="dxa"/>
            <w:left w:w="108" w:type="dxa"/>
            <w:bottom w:w="0" w:type="dxa"/>
            <w:right w:w="108" w:type="dxa"/>
          </w:tblCellMar>
        </w:tblPrEx>
        <w:tc>
          <w:tcPr>
            <w:tcW w:w="8844" w:type="dxa"/>
            <w:tcMar>
              <w:left w:w="0" w:type="dxa"/>
              <w:right w:w="0" w:type="dxa"/>
            </w:tcMar>
          </w:tcPr>
          <w:p>
            <w:pPr>
              <w:tabs>
                <w:tab w:val="left" w:pos="8364"/>
              </w:tabs>
              <w:jc w:val="center"/>
              <w:rPr>
                <w:rFonts w:eastAsia="仿宋"/>
              </w:rPr>
            </w:pPr>
            <w:r>
              <w:rPr>
                <w:rFonts w:eastAsia="仿宋"/>
                <w:sz w:val="32"/>
                <w:szCs w:val="32"/>
                <w:highlight w:val="none"/>
              </w:rPr>
              <w:t>通环</w:t>
            </w:r>
            <w:r>
              <w:rPr>
                <w:rFonts w:hint="eastAsia" w:eastAsia="仿宋"/>
                <w:sz w:val="32"/>
                <w:szCs w:val="32"/>
                <w:highlight w:val="none"/>
              </w:rPr>
              <w:t>验</w:t>
            </w:r>
            <w:r>
              <w:rPr>
                <w:rFonts w:eastAsia="仿宋"/>
                <w:sz w:val="32"/>
                <w:szCs w:val="32"/>
                <w:highlight w:val="none"/>
              </w:rPr>
              <w:t>〔2022〕</w:t>
            </w:r>
            <w:r>
              <w:rPr>
                <w:rFonts w:hint="eastAsia" w:eastAsia="仿宋"/>
                <w:sz w:val="32"/>
                <w:szCs w:val="32"/>
                <w:highlight w:val="none"/>
                <w:lang w:val="en-US" w:eastAsia="zh-CN"/>
              </w:rPr>
              <w:t>5</w:t>
            </w:r>
            <w:r>
              <w:rPr>
                <w:rFonts w:eastAsia="仿宋"/>
                <w:sz w:val="32"/>
                <w:szCs w:val="32"/>
                <w:highlight w:val="none"/>
              </w:rPr>
              <w:t>号</w:t>
            </w:r>
          </w:p>
        </w:tc>
      </w:tr>
      <w:tr>
        <w:tblPrEx>
          <w:tblCellMar>
            <w:top w:w="0" w:type="dxa"/>
            <w:left w:w="108" w:type="dxa"/>
            <w:bottom w:w="0" w:type="dxa"/>
            <w:right w:w="108" w:type="dxa"/>
          </w:tblCellMar>
        </w:tblPrEx>
        <w:tc>
          <w:tcPr>
            <w:tcW w:w="8844" w:type="dxa"/>
            <w:tcMar>
              <w:left w:w="0" w:type="dxa"/>
              <w:right w:w="0" w:type="dxa"/>
            </w:tcMar>
          </w:tcPr>
          <w:p>
            <w:pPr>
              <w:pStyle w:val="20"/>
              <w:snapToGrid w:val="0"/>
              <w:spacing w:after="840" w:line="100" w:lineRule="atLeast"/>
              <w:ind w:left="-57" w:right="-57"/>
              <w:rPr>
                <w:rFonts w:ascii="Times New Roman"/>
              </w:rPr>
            </w:pPr>
            <w:bookmarkStart w:id="0" w:name="_1082439050"/>
            <w:bookmarkEnd w:id="0"/>
            <w:bookmarkStart w:id="1" w:name="_1082439055"/>
            <w:bookmarkEnd w:id="1"/>
            <w:bookmarkStart w:id="2" w:name="_1085810014"/>
            <w:bookmarkEnd w:id="2"/>
            <w:bookmarkStart w:id="3" w:name="_1085810142"/>
            <w:bookmarkEnd w:id="3"/>
            <w:r>
              <w:rPr>
                <w:rFonts w:ascii="Times New Roman"/>
              </w:rPr>
              <w:object>
                <v:shape id="_x0000_i1025" o:spt="75" type="#_x0000_t75" style="height:6.5pt;width:447.5pt;" o:ole="t" fillcolor="#ACA899" filled="f" o:preferrelative="t" stroked="f" coordsize="21600,21600">
                  <v:path/>
                  <v:fill on="f" focussize="0,0"/>
                  <v:stroke on="f" joinstyle="miter"/>
                  <v:imagedata r:id="rId5" o:title=""/>
                  <o:lock v:ext="edit" aspectratio="t"/>
                  <w10:wrap type="none"/>
                  <w10:anchorlock/>
                </v:shape>
                <o:OLEObject Type="Embed" ProgID="Word.Picture.8" ShapeID="_x0000_i1025" DrawAspect="Content" ObjectID="_1468075725" r:id="rId4">
                  <o:LockedField>false</o:LockedField>
                </o:OLEObject>
              </w:object>
            </w:r>
          </w:p>
        </w:tc>
      </w:tr>
    </w:tbl>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南通市生态环境局关于</w:t>
      </w:r>
      <w:r>
        <w:rPr>
          <w:rFonts w:hint="eastAsia" w:ascii="Times New Roman" w:hAnsi="Times New Roman" w:eastAsia="方正小标宋_GBK" w:cs="Times New Roman"/>
          <w:sz w:val="44"/>
          <w:szCs w:val="44"/>
        </w:rPr>
        <w:t>海装如东300MW海上风电场工程（如东H3#）扩容100MW项目</w:t>
      </w:r>
      <w:r>
        <w:rPr>
          <w:rFonts w:ascii="Times New Roman" w:hAnsi="Times New Roman" w:eastAsia="方正小标宋_GBK" w:cs="Times New Roman"/>
          <w:sz w:val="44"/>
          <w:szCs w:val="44"/>
        </w:rPr>
        <w:t>环境保护设施竣工验收意见的函</w:t>
      </w:r>
    </w:p>
    <w:p>
      <w:pPr>
        <w:adjustRightInd w:val="0"/>
        <w:snapToGrid w:val="0"/>
        <w:spacing w:line="590" w:lineRule="exact"/>
        <w:rPr>
          <w:rFonts w:hint="eastAsia" w:eastAsia="华文仿宋"/>
          <w:bCs/>
          <w:sz w:val="32"/>
          <w:szCs w:val="32"/>
        </w:rPr>
      </w:pPr>
    </w:p>
    <w:p>
      <w:pPr>
        <w:adjustRightInd w:val="0"/>
        <w:snapToGrid w:val="0"/>
        <w:spacing w:line="590" w:lineRule="exact"/>
        <w:rPr>
          <w:rFonts w:eastAsia="华文仿宋"/>
          <w:bCs/>
          <w:sz w:val="32"/>
          <w:szCs w:val="32"/>
        </w:rPr>
      </w:pPr>
      <w:r>
        <w:rPr>
          <w:rFonts w:hint="eastAsia" w:eastAsia="华文仿宋"/>
          <w:bCs/>
          <w:sz w:val="32"/>
          <w:szCs w:val="32"/>
        </w:rPr>
        <w:t>盛东如东海上风力发电有限责任公司：</w:t>
      </w:r>
    </w:p>
    <w:p>
      <w:pPr>
        <w:adjustRightInd w:val="0"/>
        <w:snapToGrid w:val="0"/>
        <w:spacing w:line="590" w:lineRule="exact"/>
        <w:ind w:firstLine="640" w:firstLineChars="200"/>
        <w:rPr>
          <w:rFonts w:eastAsia="华文仿宋"/>
          <w:bCs/>
          <w:sz w:val="32"/>
          <w:szCs w:val="32"/>
        </w:rPr>
      </w:pPr>
      <w:r>
        <w:rPr>
          <w:rFonts w:hint="eastAsia" w:eastAsia="华文仿宋"/>
          <w:bCs/>
          <w:sz w:val="32"/>
          <w:szCs w:val="32"/>
        </w:rPr>
        <w:t>《海装如东300MW海上风电场工程（如东H3#）扩容100MW项目竣工环境保护验收调查报告》等材料收悉。我局组织相关单位对该项目进行了竣工环境保护设施现场检查与评审。经研究，现提出如下意见：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一、工程建设基本情况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Cs/>
          <w:sz w:val="32"/>
          <w:szCs w:val="32"/>
        </w:rPr>
      </w:pPr>
      <w:r>
        <w:rPr>
          <w:rFonts w:hint="eastAsia" w:eastAsia="华文仿宋"/>
          <w:bCs/>
          <w:sz w:val="32"/>
          <w:szCs w:val="32"/>
        </w:rPr>
        <w:t>海</w:t>
      </w:r>
      <w:r>
        <w:rPr>
          <w:rFonts w:hint="eastAsia" w:ascii="Times New Roman" w:hAnsi="Times New Roman" w:eastAsia="方正仿宋_GBK" w:cs="Times New Roman"/>
          <w:bCs/>
          <w:sz w:val="32"/>
          <w:szCs w:val="32"/>
        </w:rPr>
        <w:t>装如东300MW海上风电场工程（如东H3#）扩容100MW项目（以下简称“本项目”）位于江苏沿海省管区东侧的牛角沙，如东H1#风电场南侧，风电场中心离岸距离39km。建设内容包括：</w:t>
      </w:r>
      <w:r>
        <w:rPr>
          <w:rFonts w:hint="eastAsia" w:ascii="Times New Roman" w:hAnsi="Times New Roman" w:eastAsia="方正仿宋_GBK" w:cs="Times New Roman"/>
          <w:bCs/>
          <w:sz w:val="32"/>
          <w:szCs w:val="32"/>
          <w:lang w:val="en-US" w:eastAsia="zh-CN"/>
        </w:rPr>
        <w:t>20</w:t>
      </w:r>
      <w:r>
        <w:rPr>
          <w:rFonts w:hint="eastAsia" w:ascii="Times New Roman" w:hAnsi="Times New Roman" w:eastAsia="方正仿宋_GBK" w:cs="Times New Roman"/>
          <w:bCs/>
          <w:sz w:val="32"/>
          <w:szCs w:val="32"/>
        </w:rPr>
        <w:t>台单机容量为</w:t>
      </w:r>
      <w:r>
        <w:rPr>
          <w:rFonts w:hint="eastAsia" w:ascii="Times New Roman" w:hAnsi="Times New Roman" w:eastAsia="方正仿宋_GBK" w:cs="Times New Roman"/>
          <w:bCs/>
          <w:sz w:val="32"/>
          <w:szCs w:val="32"/>
          <w:lang w:val="en-US" w:eastAsia="zh-CN"/>
        </w:rPr>
        <w:t>5.0</w:t>
      </w:r>
      <w:r>
        <w:rPr>
          <w:rFonts w:hint="eastAsia" w:ascii="Times New Roman" w:hAnsi="Times New Roman" w:eastAsia="方正仿宋_GBK" w:cs="Times New Roman"/>
          <w:bCs/>
          <w:sz w:val="32"/>
          <w:szCs w:val="32"/>
        </w:rPr>
        <w:t>MW的风力发电机组，场内35kV海底电缆</w:t>
      </w:r>
      <w:r>
        <w:rPr>
          <w:rFonts w:hint="eastAsia" w:ascii="Times New Roman" w:hAnsi="Times New Roman" w:eastAsia="方正仿宋_GBK" w:cs="Times New Roman"/>
          <w:bCs/>
          <w:sz w:val="32"/>
          <w:szCs w:val="32"/>
          <w:lang w:eastAsia="zh-CN"/>
        </w:rPr>
        <w:t>。用海面积66.5587公顷</w:t>
      </w:r>
      <w:r>
        <w:rPr>
          <w:rFonts w:hint="eastAsia"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本项目环境影响报告书于201</w:t>
      </w:r>
      <w:r>
        <w:rPr>
          <w:rFonts w:hint="eastAsia" w:ascii="Times New Roman" w:hAnsi="Times New Roman" w:eastAsia="方正仿宋_GBK" w:cs="Times New Roman"/>
          <w:bCs/>
          <w:sz w:val="32"/>
          <w:szCs w:val="32"/>
          <w:lang w:val="en-US" w:eastAsia="zh-CN"/>
        </w:rPr>
        <w:t>8</w:t>
      </w:r>
      <w:r>
        <w:rPr>
          <w:rFonts w:hint="eastAsia"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5</w:t>
      </w:r>
      <w:r>
        <w:rPr>
          <w:rFonts w:hint="eastAsia" w:ascii="Times New Roman" w:hAnsi="Times New Roman" w:eastAsia="方正仿宋_GBK" w:cs="Times New Roman"/>
          <w:bCs/>
          <w:sz w:val="32"/>
          <w:szCs w:val="32"/>
        </w:rPr>
        <w:t>月1</w:t>
      </w:r>
      <w:r>
        <w:rPr>
          <w:rFonts w:hint="eastAsia" w:ascii="Times New Roman" w:hAnsi="Times New Roman" w:eastAsia="方正仿宋_GBK" w:cs="Times New Roman"/>
          <w:bCs/>
          <w:sz w:val="32"/>
          <w:szCs w:val="32"/>
          <w:lang w:val="en-US" w:eastAsia="zh-CN"/>
        </w:rPr>
        <w:t>8</w:t>
      </w:r>
      <w:r>
        <w:rPr>
          <w:rFonts w:hint="eastAsia" w:ascii="Times New Roman" w:hAnsi="Times New Roman" w:eastAsia="方正仿宋_GBK" w:cs="Times New Roman"/>
          <w:bCs/>
          <w:sz w:val="32"/>
          <w:szCs w:val="32"/>
        </w:rPr>
        <w:t>日取得原江苏省海洋与渔业局《关于海装如东300MW海上风电场工程（如东H3#）扩容100MW项目环境影响报告书的核准意见》（苏海环函[201</w:t>
      </w:r>
      <w:r>
        <w:rPr>
          <w:rFonts w:hint="eastAsia" w:ascii="Times New Roman" w:hAnsi="Times New Roman" w:eastAsia="方正仿宋_GBK" w:cs="Times New Roman"/>
          <w:bCs/>
          <w:sz w:val="32"/>
          <w:szCs w:val="32"/>
          <w:lang w:val="en-US" w:eastAsia="zh-CN"/>
        </w:rPr>
        <w:t>8</w:t>
      </w:r>
      <w:r>
        <w:rPr>
          <w:rFonts w:hint="eastAsia"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27</w:t>
      </w:r>
      <w:r>
        <w:rPr>
          <w:rFonts w:hint="eastAsia" w:ascii="Times New Roman" w:hAnsi="Times New Roman" w:eastAsia="方正仿宋_GBK" w:cs="Times New Roman"/>
          <w:bCs/>
          <w:sz w:val="32"/>
          <w:szCs w:val="32"/>
        </w:rPr>
        <w:t>号）。省生态环境厅出具了《省生态环境厅关于委托海装如东300MW海上风电场工程（如东H3#）扩容100MW项目</w:t>
      </w:r>
      <w:r>
        <w:rPr>
          <w:rFonts w:hint="eastAsia" w:ascii="Times New Roman" w:hAnsi="Times New Roman" w:eastAsia="方正仿宋_GBK" w:cs="Times New Roman"/>
          <w:bCs/>
          <w:sz w:val="32"/>
          <w:szCs w:val="32"/>
          <w:lang w:val="en-US" w:eastAsia="zh-CN"/>
        </w:rPr>
        <w:t>竣工</w:t>
      </w:r>
      <w:r>
        <w:rPr>
          <w:rFonts w:hint="eastAsia" w:ascii="Times New Roman" w:hAnsi="Times New Roman" w:eastAsia="方正仿宋_GBK" w:cs="Times New Roman"/>
          <w:bCs/>
          <w:sz w:val="32"/>
          <w:szCs w:val="32"/>
        </w:rPr>
        <w:t>环境保护设施验收的函》（苏环便函〔2022〕</w:t>
      </w:r>
      <w:r>
        <w:rPr>
          <w:rFonts w:hint="eastAsia" w:ascii="Times New Roman" w:hAnsi="Times New Roman" w:eastAsia="方正仿宋_GBK" w:cs="Times New Roman"/>
          <w:bCs/>
          <w:sz w:val="32"/>
          <w:szCs w:val="32"/>
          <w:lang w:val="en-US" w:eastAsia="zh-CN"/>
        </w:rPr>
        <w:t>600</w:t>
      </w:r>
      <w:r>
        <w:rPr>
          <w:rFonts w:hint="eastAsia" w:ascii="Times New Roman" w:hAnsi="Times New Roman" w:eastAsia="方正仿宋_GBK" w:cs="Times New Roman"/>
          <w:bCs/>
          <w:sz w:val="32"/>
          <w:szCs w:val="32"/>
        </w:rPr>
        <w:t>号），委托我局开展本项目环境保护设施竣工验收工作。本项目于20</w:t>
      </w:r>
      <w:r>
        <w:rPr>
          <w:rFonts w:hint="eastAsia" w:ascii="Times New Roman" w:hAnsi="Times New Roman" w:eastAsia="方正仿宋_GBK" w:cs="Times New Roman"/>
          <w:bCs/>
          <w:sz w:val="32"/>
          <w:szCs w:val="32"/>
          <w:lang w:val="en-US" w:eastAsia="zh-CN"/>
        </w:rPr>
        <w:t>21</w:t>
      </w:r>
      <w:r>
        <w:rPr>
          <w:rFonts w:hint="eastAsia"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8</w:t>
      </w:r>
      <w:r>
        <w:rPr>
          <w:rFonts w:hint="eastAsia" w:ascii="Times New Roman" w:hAnsi="Times New Roman" w:eastAsia="方正仿宋_GBK" w:cs="Times New Roman"/>
          <w:bCs/>
          <w:sz w:val="32"/>
          <w:szCs w:val="32"/>
        </w:rPr>
        <w:t>月建设完成。本项目已于201</w:t>
      </w:r>
      <w:r>
        <w:rPr>
          <w:rFonts w:hint="eastAsia" w:ascii="Times New Roman" w:hAnsi="Times New Roman" w:eastAsia="方正仿宋_GBK" w:cs="Times New Roman"/>
          <w:bCs/>
          <w:sz w:val="32"/>
          <w:szCs w:val="32"/>
          <w:lang w:val="en-US" w:eastAsia="zh-CN"/>
        </w:rPr>
        <w:t>9</w:t>
      </w:r>
      <w:r>
        <w:rPr>
          <w:rFonts w:hint="eastAsia" w:ascii="Times New Roman" w:hAnsi="Times New Roman" w:eastAsia="方正仿宋_GBK" w:cs="Times New Roman"/>
          <w:bCs/>
          <w:sz w:val="32"/>
          <w:szCs w:val="32"/>
        </w:rPr>
        <w:t>年8月</w:t>
      </w:r>
      <w:r>
        <w:rPr>
          <w:rFonts w:hint="eastAsia" w:ascii="Times New Roman" w:hAnsi="Times New Roman" w:eastAsia="方正仿宋_GBK" w:cs="Times New Roman"/>
          <w:bCs/>
          <w:sz w:val="32"/>
          <w:szCs w:val="32"/>
          <w:lang w:val="en-US" w:eastAsia="zh-CN"/>
        </w:rPr>
        <w:t>20</w:t>
      </w:r>
      <w:r>
        <w:rPr>
          <w:rFonts w:hint="eastAsia" w:ascii="Times New Roman" w:hAnsi="Times New Roman" w:eastAsia="方正仿宋_GBK" w:cs="Times New Roman"/>
          <w:bCs/>
          <w:sz w:val="32"/>
          <w:szCs w:val="32"/>
        </w:rPr>
        <w:t>日取得原江苏省海洋与渔业局下发的用海批复（苏海域函〔201</w:t>
      </w:r>
      <w:r>
        <w:rPr>
          <w:rFonts w:hint="eastAsia" w:ascii="Times New Roman" w:hAnsi="Times New Roman" w:eastAsia="方正仿宋_GBK" w:cs="Times New Roman"/>
          <w:bCs/>
          <w:sz w:val="32"/>
          <w:szCs w:val="32"/>
          <w:lang w:val="en-US" w:eastAsia="zh-CN"/>
        </w:rPr>
        <w:t>9</w:t>
      </w:r>
      <w:r>
        <w:rPr>
          <w:rFonts w:hint="eastAsia"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683</w:t>
      </w:r>
      <w:r>
        <w:rPr>
          <w:rFonts w:hint="eastAsia" w:ascii="Times New Roman" w:hAnsi="Times New Roman" w:eastAsia="方正仿宋_GBK" w:cs="Times New Roman"/>
          <w:bCs/>
          <w:sz w:val="32"/>
          <w:szCs w:val="32"/>
        </w:rPr>
        <w:t>号），于201</w:t>
      </w:r>
      <w:r>
        <w:rPr>
          <w:rFonts w:hint="eastAsia" w:ascii="Times New Roman" w:hAnsi="Times New Roman" w:eastAsia="方正仿宋_GBK" w:cs="Times New Roman"/>
          <w:bCs/>
          <w:sz w:val="32"/>
          <w:szCs w:val="32"/>
          <w:lang w:val="en-US" w:eastAsia="zh-CN"/>
        </w:rPr>
        <w:t>9</w:t>
      </w:r>
      <w:r>
        <w:rPr>
          <w:rFonts w:hint="eastAsia"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9</w:t>
      </w:r>
      <w:r>
        <w:rPr>
          <w:rFonts w:hint="eastAsia"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18</w:t>
      </w:r>
      <w:r>
        <w:rPr>
          <w:rFonts w:hint="eastAsia" w:ascii="Times New Roman" w:hAnsi="Times New Roman" w:eastAsia="方正仿宋_GBK" w:cs="Times New Roman"/>
          <w:bCs/>
          <w:sz w:val="32"/>
          <w:szCs w:val="32"/>
        </w:rPr>
        <w:t>日取得不动产权证书。本项目实际总投资</w:t>
      </w:r>
      <w:r>
        <w:rPr>
          <w:rFonts w:hint="eastAsia" w:ascii="Times New Roman" w:hAnsi="Times New Roman" w:eastAsia="方正仿宋_GBK" w:cs="Times New Roman"/>
          <w:bCs/>
          <w:sz w:val="32"/>
          <w:szCs w:val="32"/>
          <w:lang w:val="en-US" w:eastAsia="zh-CN"/>
        </w:rPr>
        <w:t>17.55</w:t>
      </w:r>
      <w:r>
        <w:rPr>
          <w:rFonts w:hint="eastAsia" w:ascii="Times New Roman" w:hAnsi="Times New Roman" w:eastAsia="方正仿宋_GBK" w:cs="Times New Roman"/>
          <w:bCs/>
          <w:sz w:val="32"/>
          <w:szCs w:val="32"/>
        </w:rPr>
        <w:t>亿元，其中环保投资约1314万元，约占总投资的0.</w:t>
      </w:r>
      <w:r>
        <w:rPr>
          <w:rFonts w:hint="eastAsia" w:ascii="Times New Roman" w:hAnsi="Times New Roman" w:eastAsia="方正仿宋_GBK" w:cs="Times New Roman"/>
          <w:bCs/>
          <w:sz w:val="32"/>
          <w:szCs w:val="32"/>
          <w:lang w:val="en-US" w:eastAsia="zh-CN"/>
        </w:rPr>
        <w:t>75</w:t>
      </w:r>
      <w:r>
        <w:rPr>
          <w:rFonts w:hint="eastAsia"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（二）工程变更情况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根据调查报告，与环评阶段相比，本项目调整后，项目选址、性质、规模均未发生变化，全部20台风机基础型式由高桩承台基础变为单桩基础，施工工艺未发生明显变化。根据工程方案变动后的影响分析结论，本次变动对项目区域周边海洋水质、沉积物、生态环境影响较小，较变动前变化不大，对鸟类及其他环境要素、环境敏感区基本无影响。项目变动不增加新的环境风险。变动后的环境保护措施与环境风险防范措施依然具有有效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依据江苏省生态环境厅《关于加强涉变动项目环评与排污许可管理衔接的通知》(苏环办〔2021〕122号)，本项目调整不属于重大变动情形。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二、环保措施及环境风险防范措施落实情况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（一）水污染防治措施落实情况</w:t>
      </w:r>
    </w:p>
    <w:p>
      <w:pPr>
        <w:pStyle w:val="22"/>
        <w:spacing w:line="620" w:lineRule="exact"/>
        <w:ind w:firstLine="6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施工期，施工船舶生活污水、含油污水委托南通中蓝海洋科技有限责任公司和南通亿洋船务工程有限公司接收处置。</w:t>
      </w:r>
    </w:p>
    <w:p>
      <w:pPr>
        <w:adjustRightInd w:val="0"/>
        <w:snapToGrid w:val="0"/>
        <w:spacing w:line="560" w:lineRule="exact"/>
        <w:ind w:firstLine="640" w:firstLineChars="20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运行阶段，运维人员生活污水经收集后运回陆上依托华能如东八仙角海上风力发电有限责任公司华能如东海上风电工程（300MW）成套污水处理装置（1.0t/h）处理。因此，本项目施工期及运行期各类污废水均得到妥善处置，不会对周边海域产生不利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（二）大气污染防治措施落实情况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施工期大气污染物主要为施工机械、船舶运行时燃料燃烧产生的废气，施工过程中加强了施工船只管理，避免施工区域船舶拥堵，避免加剧废气等污染物产生，禁止施工机械超负荷工作。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（三）噪声污染防治措施落实情况</w:t>
      </w:r>
    </w:p>
    <w:p>
      <w:pPr>
        <w:pStyle w:val="23"/>
        <w:spacing w:line="620" w:lineRule="exact"/>
        <w:ind w:firstLine="6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施工期，施工避开鸟类集群的高峰期，避开石首科鱼类、银鲳产卵期5～6月，减少植被破坏，海上施工期对每日预计打桩数量（即最高数量）、打桩的持续时间做出预测，在时间上控制一次一桩。打桩时采用软启动方式。定期开展施工机械和运输机械的维护、更新，采用低噪声环保机械。</w:t>
      </w:r>
    </w:p>
    <w:p>
      <w:pPr>
        <w:pStyle w:val="21"/>
        <w:spacing w:line="620" w:lineRule="exact"/>
        <w:ind w:firstLine="6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运行期，风电场设备采用了低噪声设备，公司制定了运行期日常管理制度，加强了风电场巡检及设备维护频率。主变压器与底座之间衬隔振垫，室内墙体敷设外壳为铝合金的吸音板，风机机舱内粘贴阻尼材料等方式降低运行过程中噪声污染。</w:t>
      </w:r>
    </w:p>
    <w:p>
      <w:pPr>
        <w:adjustRightInd w:val="0"/>
        <w:snapToGrid w:val="0"/>
        <w:spacing w:line="590" w:lineRule="exact"/>
        <w:ind w:firstLine="640" w:firstLineChars="200"/>
        <w:rPr>
          <w:rFonts w:eastAsia="方正楷体_GBK"/>
          <w:bCs/>
          <w:sz w:val="32"/>
          <w:szCs w:val="32"/>
        </w:rPr>
      </w:pPr>
      <w:r>
        <w:rPr>
          <w:rFonts w:hint="eastAsia" w:eastAsia="方正楷体_GBK"/>
          <w:bCs/>
          <w:sz w:val="32"/>
          <w:szCs w:val="32"/>
        </w:rPr>
        <w:t>（四）海洋生态环境保护措施</w:t>
      </w:r>
      <w:r>
        <w:rPr>
          <w:rFonts w:hint="eastAsia" w:eastAsia="方正楷体_GBK" w:cs="方正楷体_GBK"/>
          <w:bCs/>
          <w:sz w:val="32"/>
          <w:szCs w:val="32"/>
        </w:rPr>
        <w:t>落实情况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为恢复项目周边海域生态，建设单位于2020年11月委托中国水产科学研究院东海水产研究所编制了《海装如东300MW（如东H3#）及海装如东300MW扩容100MW海上风电场工程渔业资源生态补偿实施方案》，生态补偿资金共1014.26万元，主要生态修复内容为开展增殖放流，以增加海域生物资源。</w:t>
      </w:r>
    </w:p>
    <w:p>
      <w:pPr>
        <w:adjustRightInd w:val="0"/>
        <w:snapToGrid w:val="0"/>
        <w:spacing w:line="560" w:lineRule="exact"/>
        <w:ind w:firstLine="640" w:firstLineChars="200"/>
        <w:rPr>
          <w:rFonts w:eastAsia="方正楷体_GBK"/>
          <w:bCs/>
          <w:sz w:val="32"/>
          <w:szCs w:val="32"/>
        </w:rPr>
      </w:pPr>
      <w:r>
        <w:rPr>
          <w:rFonts w:hint="eastAsia" w:eastAsia="方正楷体_GBK"/>
          <w:bCs/>
          <w:sz w:val="32"/>
          <w:szCs w:val="32"/>
        </w:rPr>
        <w:t>（五）固体废物处置措施</w:t>
      </w:r>
      <w:r>
        <w:rPr>
          <w:rFonts w:hint="eastAsia" w:eastAsia="方正楷体_GBK" w:cs="方正楷体_GBK"/>
          <w:bCs/>
          <w:sz w:val="32"/>
          <w:szCs w:val="32"/>
        </w:rPr>
        <w:t>落实情况</w:t>
      </w:r>
    </w:p>
    <w:p>
      <w:pPr>
        <w:pStyle w:val="24"/>
        <w:spacing w:line="620" w:lineRule="exact"/>
        <w:ind w:firstLine="6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施工船舶残油和含油废物、船舶垃圾委托南通中蓝海洋科技有限责任公司和南通亿洋船务工程有限公司接收处置。</w:t>
      </w:r>
    </w:p>
    <w:p>
      <w:pPr>
        <w:pStyle w:val="21"/>
        <w:spacing w:line="620" w:lineRule="exact"/>
        <w:ind w:firstLine="6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海上升压站（依托）正常情况下无生活垃圾产生，若在台风等极端天气时导致巡检人员无法返回陆域，则可能产生生活垃圾，产生后统一运至陆域依托华能如东八仙角海上风力发电有限责任公司华能如东海上风电工程（300MW）陆上集控中心贮存、处理。陆上开关站（依托）事故、海上升压站（依托）主变压器突发事故产生的废油，分别汇合到陆上开关站（依托）事故油池（140m3）和海上升压站（依托）事故油罐（2个，每个50m3）。主变压器及风机机组事故废油、维保废油、废电池，均属于危险废物，应委托有资质单位处置。其中，废油已与南通信炜油品有限公司签订处置协议，废旧蓄电池由生产厂家回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（六）电磁污染防治措施</w:t>
      </w:r>
    </w:p>
    <w:p>
      <w:pPr>
        <w:pStyle w:val="21"/>
        <w:spacing w:line="620" w:lineRule="exact"/>
        <w:ind w:firstLine="6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本项目220kV海上升压站（依托）内所有高压设备、建筑物保证钢铁件均接地良好，所有设备导电元件间接触部位均连接紧密。电气设备带有金属罩壳，各电压等级的配电装置GIS设备采用封闭式母线，对裸露电气设备采取设置安全遮拦措施。电力线路的绝缘子和金属表面保持清洁、不积污，金属间保持良好的连接，有效防止和避免了间隙性放电。海底电缆采取铠装并埋于海底下，对周边环境电磁影响较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（七）环境风险防范及应急措施落实情况</w:t>
      </w:r>
    </w:p>
    <w:p>
      <w:pPr>
        <w:pStyle w:val="25"/>
        <w:spacing w:line="620" w:lineRule="exact"/>
        <w:ind w:firstLine="64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施工单位编制了施工期防溢油应急预案，配备了一定数量的应急物资，并开展应急演练，签订了施工期防治溢油污染海洋环境的应急处置协议，依托其溢油应急处置力量。</w:t>
      </w:r>
    </w:p>
    <w:p>
      <w:pPr>
        <w:adjustRightInd w:val="0"/>
        <w:snapToGrid w:val="0"/>
        <w:spacing w:line="590" w:lineRule="exact"/>
        <w:ind w:firstLine="640" w:firstLineChars="20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运行期开展水上维护活动前，提前向海事部门申请发布航行通告和航行警告。海上升压站配备了一定数量的应急救援物资，主要为吸油毡，已与南通亿洋船务工程有限公司签订了应急处置协议。建设单位已编制《盛东如东海上风力发电有限责任公司防治海洋工程污染损害海洋环境应急预案》并在南通市生态环境局完成备案，备案编号：320600-2021-H005-M。海上升压站配备2个事故油罐，每个事故油罐容积50m3，位于海上升压站一层，可满足事故状态下单台主变油量收集存储。定期开展应急预案演练及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三、工程建设对海洋环境的影响</w:t>
      </w:r>
    </w:p>
    <w:p>
      <w:pPr>
        <w:adjustRightInd w:val="0"/>
        <w:snapToGrid w:val="0"/>
        <w:spacing w:line="590" w:lineRule="exact"/>
        <w:ind w:firstLine="640" w:firstLineChars="20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根据环境影响报告书及核准意见，本次竣工环保验收调查开展了施工期及营运期间的海洋环境跟踪监测资料，委托了青岛卓建海洋工程勘测技术有限公司、上海鉴海环境检测技术有限公司对项目风电场及海上升压站周边的噪声环境进行了环境监测。将施工期调查结果与环评阶段调查结果进行比对、将试运营期调查结果与环评阶段调查结果进行比对，通过分析施工期对环境的影响及试运营期对环境的影响，未发现工程施工对周边海域海水水质、海洋沉积物产生明显影响；工程施工对周边海域沉积物环境、浮游动物、底栖生物、潮间带生物、游泳动物的影响较小，未发现工程运营对周边海域海水水质、海洋沉积物产生明显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四、验收结论和管理要求</w:t>
      </w:r>
    </w:p>
    <w:p>
      <w:pPr>
        <w:adjustRightInd w:val="0"/>
        <w:snapToGrid w:val="0"/>
        <w:spacing w:line="590" w:lineRule="exact"/>
        <w:ind w:firstLine="640" w:firstLineChars="20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本项目建设无重大变更，并按环境影响报告书及核准意见落实了施工期各环境要素、海洋生态环境保护及风险防范措施。经研究，同意该项目环境保护设施验收合格。</w:t>
      </w:r>
    </w:p>
    <w:p>
      <w:pPr>
        <w:adjustRightInd w:val="0"/>
        <w:snapToGrid w:val="0"/>
        <w:spacing w:line="590" w:lineRule="exact"/>
        <w:ind w:firstLine="640" w:firstLineChars="20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项目投入运营后应制定监测计划，加强海洋生态环境跟踪监测；加强环境保护设施</w:t>
      </w:r>
      <w:bookmarkStart w:id="4" w:name="_GoBack"/>
      <w:bookmarkEnd w:id="4"/>
      <w:r>
        <w:rPr>
          <w:rFonts w:hint="eastAsia" w:ascii="Times New Roman" w:hAnsi="Times New Roman" w:eastAsia="方正仿宋_GBK" w:cs="Times New Roman"/>
          <w:bCs/>
          <w:kern w:val="2"/>
          <w:sz w:val="32"/>
          <w:szCs w:val="32"/>
          <w:lang w:val="en-US" w:eastAsia="zh-CN" w:bidi="ar-SA"/>
        </w:rPr>
        <w:t>的运行管理，切实落实各项生态保护措施；认真落实环境风险防范措施，加强应急设备管理与维护，确保发生事故时能够及时、快速和有效处置；认真执行生态补偿方案，确保生态补偿落实到位。</w:t>
      </w:r>
    </w:p>
    <w:p>
      <w:pPr>
        <w:adjustRightInd w:val="0"/>
        <w:snapToGrid w:val="0"/>
        <w:spacing w:line="590" w:lineRule="exact"/>
        <w:rPr>
          <w:rFonts w:eastAsia="华文仿宋"/>
          <w:bCs/>
          <w:sz w:val="32"/>
          <w:szCs w:val="32"/>
        </w:rPr>
      </w:pPr>
    </w:p>
    <w:p>
      <w:pPr>
        <w:adjustRightInd w:val="0"/>
        <w:snapToGrid w:val="0"/>
        <w:spacing w:line="590" w:lineRule="exact"/>
        <w:rPr>
          <w:rFonts w:eastAsia="华文仿宋"/>
          <w:bCs/>
          <w:sz w:val="32"/>
          <w:szCs w:val="32"/>
        </w:rPr>
      </w:pPr>
    </w:p>
    <w:p>
      <w:pPr>
        <w:adjustRightInd w:val="0"/>
        <w:snapToGrid w:val="0"/>
        <w:spacing w:line="590" w:lineRule="exact"/>
        <w:rPr>
          <w:rFonts w:eastAsia="华文仿宋"/>
          <w:bCs/>
          <w:sz w:val="32"/>
          <w:szCs w:val="32"/>
        </w:rPr>
      </w:pPr>
    </w:p>
    <w:p>
      <w:pPr>
        <w:adjustRightInd w:val="0"/>
        <w:snapToGrid w:val="0"/>
        <w:spacing w:line="590" w:lineRule="exact"/>
        <w:ind w:firstLine="5120" w:firstLineChars="1600"/>
        <w:rPr>
          <w:rFonts w:hint="eastAsia"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南通市生态环境局</w:t>
      </w:r>
    </w:p>
    <w:p>
      <w:pPr>
        <w:adjustRightInd w:val="0"/>
        <w:snapToGrid w:val="0"/>
        <w:spacing w:line="590" w:lineRule="exact"/>
        <w:ind w:firstLine="5120" w:firstLineChars="1600"/>
        <w:rPr>
          <w:rFonts w:eastAsia="华文仿宋"/>
          <w:sz w:val="32"/>
          <w:szCs w:val="32"/>
          <w:highlight w:val="none"/>
        </w:rPr>
      </w:pPr>
      <w:r>
        <w:rPr>
          <w:rFonts w:hint="eastAsia" w:ascii="Times New Roman" w:hAnsi="Times New Roman" w:eastAsia="方正仿宋_GBK" w:cs="Times New Roman"/>
          <w:bCs/>
          <w:kern w:val="2"/>
          <w:sz w:val="32"/>
          <w:szCs w:val="32"/>
          <w:lang w:val="en-US" w:eastAsia="zh-CN" w:bidi="ar-SA"/>
        </w:rPr>
        <w:t>2022年8月31日</w:t>
      </w: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sz w:val="32"/>
          <w:szCs w:val="32"/>
        </w:rPr>
      </w:pPr>
    </w:p>
    <w:p>
      <w:pPr>
        <w:spacing w:line="580" w:lineRule="atLeast"/>
        <w:rPr>
          <w:rFonts w:eastAsia="华文仿宋"/>
          <w:bCs/>
          <w:sz w:val="32"/>
          <w:szCs w:val="32"/>
        </w:rPr>
      </w:pPr>
    </w:p>
    <w:tbl>
      <w:tblPr>
        <w:tblStyle w:val="9"/>
        <w:tblW w:w="9039" w:type="dxa"/>
        <w:jc w:val="center"/>
        <w:tblBorders>
          <w:top w:val="single" w:color="auto" w:sz="4"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39"/>
      </w:tblGrid>
      <w:tr>
        <w:tblPrEx>
          <w:tblBorders>
            <w:top w:val="single" w:color="auto" w:sz="4" w:space="0"/>
            <w:left w:val="none" w:color="auto" w:sz="0" w:space="0"/>
            <w:bottom w:val="single" w:color="auto" w:sz="12" w:space="0"/>
            <w:right w:val="none" w:color="auto" w:sz="0" w:space="0"/>
            <w:insideH w:val="single" w:color="auto" w:sz="4" w:space="0"/>
            <w:insideV w:val="none" w:color="auto" w:sz="0" w:space="0"/>
          </w:tblBorders>
        </w:tblPrEx>
        <w:trPr>
          <w:trHeight w:val="217" w:hRule="atLeast"/>
          <w:jc w:val="center"/>
        </w:trPr>
        <w:tc>
          <w:tcPr>
            <w:tcW w:w="9039" w:type="dxa"/>
          </w:tcPr>
          <w:p>
            <w:pPr>
              <w:spacing w:line="460" w:lineRule="exact"/>
              <w:rPr>
                <w:rFonts w:eastAsia="华文仿宋"/>
                <w:bCs/>
                <w:sz w:val="32"/>
                <w:szCs w:val="32"/>
              </w:rPr>
            </w:pPr>
            <w:r>
              <w:rPr>
                <w:rFonts w:eastAsia="华文仿宋"/>
                <w:bCs/>
                <w:sz w:val="32"/>
                <w:szCs w:val="32"/>
              </w:rPr>
              <w:t>抄 送：</w:t>
            </w:r>
            <w:r>
              <w:rPr>
                <w:rFonts w:hint="eastAsia" w:eastAsia="华文仿宋"/>
                <w:bCs/>
                <w:sz w:val="32"/>
                <w:szCs w:val="32"/>
                <w:lang w:val="en-US" w:eastAsia="zh-CN"/>
              </w:rPr>
              <w:t>江苏</w:t>
            </w:r>
            <w:r>
              <w:rPr>
                <w:rFonts w:eastAsia="华文仿宋"/>
                <w:bCs/>
                <w:sz w:val="32"/>
                <w:szCs w:val="32"/>
              </w:rPr>
              <w:t>省生态环境厅</w:t>
            </w:r>
            <w:r>
              <w:rPr>
                <w:rFonts w:hint="eastAsia" w:eastAsia="华文仿宋"/>
                <w:bCs/>
                <w:sz w:val="32"/>
                <w:szCs w:val="32"/>
              </w:rPr>
              <w:t>、</w:t>
            </w:r>
            <w:r>
              <w:rPr>
                <w:rFonts w:eastAsia="华文仿宋"/>
                <w:bCs/>
                <w:sz w:val="32"/>
                <w:szCs w:val="32"/>
              </w:rPr>
              <w:t>南通市</w:t>
            </w:r>
            <w:r>
              <w:rPr>
                <w:rFonts w:hint="eastAsia" w:eastAsia="华文仿宋"/>
                <w:bCs/>
                <w:sz w:val="32"/>
                <w:szCs w:val="32"/>
              </w:rPr>
              <w:t>如东</w:t>
            </w:r>
            <w:r>
              <w:rPr>
                <w:rFonts w:eastAsia="华文仿宋"/>
                <w:bCs/>
                <w:sz w:val="32"/>
                <w:szCs w:val="32"/>
              </w:rPr>
              <w:t>生态环境局</w:t>
            </w:r>
          </w:p>
        </w:tc>
      </w:tr>
    </w:tbl>
    <w:p>
      <w:pPr>
        <w:spacing w:line="460" w:lineRule="exact"/>
        <w:jc w:val="left"/>
        <w:rPr>
          <w:rFonts w:eastAsia="华文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3C0041" w:csb1="A008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MWNjNjk3NmE0YjVkYzA3YTRlYjFhN2NlYTZmNDQifQ=="/>
  </w:docVars>
  <w:rsids>
    <w:rsidRoot w:val="00172A27"/>
    <w:rsid w:val="00020BC7"/>
    <w:rsid w:val="00021E60"/>
    <w:rsid w:val="000264C7"/>
    <w:rsid w:val="00036D86"/>
    <w:rsid w:val="000415C1"/>
    <w:rsid w:val="00073548"/>
    <w:rsid w:val="00077EEF"/>
    <w:rsid w:val="00082FB2"/>
    <w:rsid w:val="00090FC1"/>
    <w:rsid w:val="000A3596"/>
    <w:rsid w:val="000C4A78"/>
    <w:rsid w:val="000C6089"/>
    <w:rsid w:val="00102944"/>
    <w:rsid w:val="001250B8"/>
    <w:rsid w:val="0012590C"/>
    <w:rsid w:val="0013043B"/>
    <w:rsid w:val="0014048D"/>
    <w:rsid w:val="00143C4D"/>
    <w:rsid w:val="001552FD"/>
    <w:rsid w:val="00163DEC"/>
    <w:rsid w:val="00172A27"/>
    <w:rsid w:val="00184069"/>
    <w:rsid w:val="00184B57"/>
    <w:rsid w:val="00195F22"/>
    <w:rsid w:val="001B27B8"/>
    <w:rsid w:val="001C01F5"/>
    <w:rsid w:val="001C6262"/>
    <w:rsid w:val="001D2182"/>
    <w:rsid w:val="001E0963"/>
    <w:rsid w:val="001F7AB8"/>
    <w:rsid w:val="002014E3"/>
    <w:rsid w:val="0020615D"/>
    <w:rsid w:val="00207C8E"/>
    <w:rsid w:val="00236D66"/>
    <w:rsid w:val="002371C1"/>
    <w:rsid w:val="002449FC"/>
    <w:rsid w:val="00246A13"/>
    <w:rsid w:val="00246C4E"/>
    <w:rsid w:val="00267758"/>
    <w:rsid w:val="00281356"/>
    <w:rsid w:val="00287AA6"/>
    <w:rsid w:val="00297316"/>
    <w:rsid w:val="002C6457"/>
    <w:rsid w:val="002C6FAA"/>
    <w:rsid w:val="002D456A"/>
    <w:rsid w:val="002D6C7E"/>
    <w:rsid w:val="002E32D2"/>
    <w:rsid w:val="002F0AFB"/>
    <w:rsid w:val="002F2CC2"/>
    <w:rsid w:val="002F5775"/>
    <w:rsid w:val="00302452"/>
    <w:rsid w:val="00311F99"/>
    <w:rsid w:val="003128FC"/>
    <w:rsid w:val="00323477"/>
    <w:rsid w:val="00324B5D"/>
    <w:rsid w:val="00325BF5"/>
    <w:rsid w:val="0032756A"/>
    <w:rsid w:val="00350452"/>
    <w:rsid w:val="0037038F"/>
    <w:rsid w:val="00370D3E"/>
    <w:rsid w:val="003851F9"/>
    <w:rsid w:val="003938E8"/>
    <w:rsid w:val="003A3E2E"/>
    <w:rsid w:val="003A67A0"/>
    <w:rsid w:val="003B6F05"/>
    <w:rsid w:val="003C13A7"/>
    <w:rsid w:val="003C1E4F"/>
    <w:rsid w:val="003E0B2E"/>
    <w:rsid w:val="003E5FCA"/>
    <w:rsid w:val="003F7450"/>
    <w:rsid w:val="00406939"/>
    <w:rsid w:val="00412E4B"/>
    <w:rsid w:val="0041484A"/>
    <w:rsid w:val="00416111"/>
    <w:rsid w:val="00421F8D"/>
    <w:rsid w:val="00443FD4"/>
    <w:rsid w:val="00450193"/>
    <w:rsid w:val="00463AA0"/>
    <w:rsid w:val="0047062C"/>
    <w:rsid w:val="0047135C"/>
    <w:rsid w:val="00484977"/>
    <w:rsid w:val="0048636B"/>
    <w:rsid w:val="00487290"/>
    <w:rsid w:val="00493549"/>
    <w:rsid w:val="004952CE"/>
    <w:rsid w:val="004A00D8"/>
    <w:rsid w:val="004A530F"/>
    <w:rsid w:val="004A6ADC"/>
    <w:rsid w:val="004B44E4"/>
    <w:rsid w:val="004F6410"/>
    <w:rsid w:val="004F6DFA"/>
    <w:rsid w:val="00502B34"/>
    <w:rsid w:val="0051146A"/>
    <w:rsid w:val="00523FF5"/>
    <w:rsid w:val="005329D6"/>
    <w:rsid w:val="00537B94"/>
    <w:rsid w:val="00550210"/>
    <w:rsid w:val="00562D17"/>
    <w:rsid w:val="00564C16"/>
    <w:rsid w:val="00566C49"/>
    <w:rsid w:val="005A506B"/>
    <w:rsid w:val="005B1525"/>
    <w:rsid w:val="005C121D"/>
    <w:rsid w:val="005C1994"/>
    <w:rsid w:val="005C2F2F"/>
    <w:rsid w:val="005C61EB"/>
    <w:rsid w:val="005E27F1"/>
    <w:rsid w:val="005E6025"/>
    <w:rsid w:val="005E6A21"/>
    <w:rsid w:val="005F7BD7"/>
    <w:rsid w:val="00604986"/>
    <w:rsid w:val="00606339"/>
    <w:rsid w:val="00616515"/>
    <w:rsid w:val="006422FE"/>
    <w:rsid w:val="00670DA0"/>
    <w:rsid w:val="006B11E4"/>
    <w:rsid w:val="006B3533"/>
    <w:rsid w:val="006D56BC"/>
    <w:rsid w:val="006F057F"/>
    <w:rsid w:val="00705672"/>
    <w:rsid w:val="007448B1"/>
    <w:rsid w:val="00773114"/>
    <w:rsid w:val="00774D5D"/>
    <w:rsid w:val="0078031A"/>
    <w:rsid w:val="007A5DE3"/>
    <w:rsid w:val="007A7FC7"/>
    <w:rsid w:val="007C16C4"/>
    <w:rsid w:val="007C3737"/>
    <w:rsid w:val="007C3D0E"/>
    <w:rsid w:val="007C7190"/>
    <w:rsid w:val="007D2615"/>
    <w:rsid w:val="007E4CB5"/>
    <w:rsid w:val="007E7039"/>
    <w:rsid w:val="007F3BFB"/>
    <w:rsid w:val="007F6E1D"/>
    <w:rsid w:val="00801C3A"/>
    <w:rsid w:val="00816820"/>
    <w:rsid w:val="0081740D"/>
    <w:rsid w:val="008212D3"/>
    <w:rsid w:val="0083029B"/>
    <w:rsid w:val="0084021E"/>
    <w:rsid w:val="0084328B"/>
    <w:rsid w:val="0084606E"/>
    <w:rsid w:val="008525EA"/>
    <w:rsid w:val="008578F9"/>
    <w:rsid w:val="008666A6"/>
    <w:rsid w:val="00882469"/>
    <w:rsid w:val="00882607"/>
    <w:rsid w:val="00890A8F"/>
    <w:rsid w:val="00892F13"/>
    <w:rsid w:val="00893B51"/>
    <w:rsid w:val="008B4CA4"/>
    <w:rsid w:val="008B7F2C"/>
    <w:rsid w:val="008F288D"/>
    <w:rsid w:val="0090019C"/>
    <w:rsid w:val="00906941"/>
    <w:rsid w:val="00916C0F"/>
    <w:rsid w:val="00920700"/>
    <w:rsid w:val="009264F2"/>
    <w:rsid w:val="0093445D"/>
    <w:rsid w:val="0094071F"/>
    <w:rsid w:val="00944BB6"/>
    <w:rsid w:val="00950896"/>
    <w:rsid w:val="00964D2C"/>
    <w:rsid w:val="00966902"/>
    <w:rsid w:val="00967333"/>
    <w:rsid w:val="00985CA7"/>
    <w:rsid w:val="009A08CF"/>
    <w:rsid w:val="009A799B"/>
    <w:rsid w:val="009B5254"/>
    <w:rsid w:val="009C637C"/>
    <w:rsid w:val="009E27D5"/>
    <w:rsid w:val="009E48FF"/>
    <w:rsid w:val="009E509D"/>
    <w:rsid w:val="009F1B81"/>
    <w:rsid w:val="00A05A08"/>
    <w:rsid w:val="00A07D99"/>
    <w:rsid w:val="00A11EED"/>
    <w:rsid w:val="00A26AC5"/>
    <w:rsid w:val="00A3355C"/>
    <w:rsid w:val="00A33EC2"/>
    <w:rsid w:val="00A409A0"/>
    <w:rsid w:val="00A63D6B"/>
    <w:rsid w:val="00A659AD"/>
    <w:rsid w:val="00A66E97"/>
    <w:rsid w:val="00A71B7A"/>
    <w:rsid w:val="00A723C0"/>
    <w:rsid w:val="00A87098"/>
    <w:rsid w:val="00A9438D"/>
    <w:rsid w:val="00AA47A4"/>
    <w:rsid w:val="00AC5081"/>
    <w:rsid w:val="00AD5433"/>
    <w:rsid w:val="00AE1D0E"/>
    <w:rsid w:val="00AE65EA"/>
    <w:rsid w:val="00B04531"/>
    <w:rsid w:val="00B06B6C"/>
    <w:rsid w:val="00B33E91"/>
    <w:rsid w:val="00B37E82"/>
    <w:rsid w:val="00B412A0"/>
    <w:rsid w:val="00B44316"/>
    <w:rsid w:val="00B50693"/>
    <w:rsid w:val="00B61274"/>
    <w:rsid w:val="00B62061"/>
    <w:rsid w:val="00B6657D"/>
    <w:rsid w:val="00B74173"/>
    <w:rsid w:val="00B96C57"/>
    <w:rsid w:val="00BA6462"/>
    <w:rsid w:val="00BB2E38"/>
    <w:rsid w:val="00BC02DC"/>
    <w:rsid w:val="00BE013E"/>
    <w:rsid w:val="00BE6757"/>
    <w:rsid w:val="00BF7D83"/>
    <w:rsid w:val="00C01956"/>
    <w:rsid w:val="00C119C6"/>
    <w:rsid w:val="00C25A9A"/>
    <w:rsid w:val="00C40F56"/>
    <w:rsid w:val="00C45D91"/>
    <w:rsid w:val="00C60709"/>
    <w:rsid w:val="00C703D3"/>
    <w:rsid w:val="00C75806"/>
    <w:rsid w:val="00C96E51"/>
    <w:rsid w:val="00CB6CA7"/>
    <w:rsid w:val="00CD3007"/>
    <w:rsid w:val="00CF1639"/>
    <w:rsid w:val="00CF1AEC"/>
    <w:rsid w:val="00CF37D1"/>
    <w:rsid w:val="00D042E8"/>
    <w:rsid w:val="00D068D8"/>
    <w:rsid w:val="00D06B12"/>
    <w:rsid w:val="00D12041"/>
    <w:rsid w:val="00D36A82"/>
    <w:rsid w:val="00D4474F"/>
    <w:rsid w:val="00D57206"/>
    <w:rsid w:val="00D57955"/>
    <w:rsid w:val="00D57BD0"/>
    <w:rsid w:val="00D66E1B"/>
    <w:rsid w:val="00D761D0"/>
    <w:rsid w:val="00D773C6"/>
    <w:rsid w:val="00D85B2F"/>
    <w:rsid w:val="00DA1445"/>
    <w:rsid w:val="00DB3F2E"/>
    <w:rsid w:val="00DD6C45"/>
    <w:rsid w:val="00DF2252"/>
    <w:rsid w:val="00E00E1E"/>
    <w:rsid w:val="00E06E45"/>
    <w:rsid w:val="00E12E92"/>
    <w:rsid w:val="00E14AE5"/>
    <w:rsid w:val="00E15F0E"/>
    <w:rsid w:val="00E278E9"/>
    <w:rsid w:val="00E27E15"/>
    <w:rsid w:val="00E32524"/>
    <w:rsid w:val="00E37929"/>
    <w:rsid w:val="00E44987"/>
    <w:rsid w:val="00E45D8F"/>
    <w:rsid w:val="00E54735"/>
    <w:rsid w:val="00E566F1"/>
    <w:rsid w:val="00E72991"/>
    <w:rsid w:val="00E834CC"/>
    <w:rsid w:val="00E867D7"/>
    <w:rsid w:val="00E91BFF"/>
    <w:rsid w:val="00EB2CD2"/>
    <w:rsid w:val="00EB56C8"/>
    <w:rsid w:val="00EC6281"/>
    <w:rsid w:val="00EC6956"/>
    <w:rsid w:val="00EC6976"/>
    <w:rsid w:val="00ED3B43"/>
    <w:rsid w:val="00ED775C"/>
    <w:rsid w:val="00EE0E56"/>
    <w:rsid w:val="00EE14A7"/>
    <w:rsid w:val="00F0136C"/>
    <w:rsid w:val="00F122DC"/>
    <w:rsid w:val="00F31257"/>
    <w:rsid w:val="00F45253"/>
    <w:rsid w:val="00F46C13"/>
    <w:rsid w:val="00F579B2"/>
    <w:rsid w:val="00F77420"/>
    <w:rsid w:val="00F823A1"/>
    <w:rsid w:val="00F864FE"/>
    <w:rsid w:val="00F9246C"/>
    <w:rsid w:val="00F93B7F"/>
    <w:rsid w:val="00FA0572"/>
    <w:rsid w:val="00FA2633"/>
    <w:rsid w:val="00FA3CFE"/>
    <w:rsid w:val="00FA7285"/>
    <w:rsid w:val="00FB02A8"/>
    <w:rsid w:val="00FC1D41"/>
    <w:rsid w:val="00FC2BD1"/>
    <w:rsid w:val="00FD46CD"/>
    <w:rsid w:val="00FD561C"/>
    <w:rsid w:val="00FF1782"/>
    <w:rsid w:val="00FF226C"/>
    <w:rsid w:val="00FF4FBD"/>
    <w:rsid w:val="016F4359"/>
    <w:rsid w:val="01EA0541"/>
    <w:rsid w:val="02301864"/>
    <w:rsid w:val="02DB05BD"/>
    <w:rsid w:val="06023CB9"/>
    <w:rsid w:val="06815CB1"/>
    <w:rsid w:val="076F023F"/>
    <w:rsid w:val="08274879"/>
    <w:rsid w:val="0A6C55BC"/>
    <w:rsid w:val="0CA257D5"/>
    <w:rsid w:val="0F5A453C"/>
    <w:rsid w:val="1128369D"/>
    <w:rsid w:val="11C2177D"/>
    <w:rsid w:val="18465981"/>
    <w:rsid w:val="18B167CC"/>
    <w:rsid w:val="1AEF3A33"/>
    <w:rsid w:val="1D600239"/>
    <w:rsid w:val="1EF03D4E"/>
    <w:rsid w:val="204D6D9F"/>
    <w:rsid w:val="209C7B96"/>
    <w:rsid w:val="214D4A19"/>
    <w:rsid w:val="21696C84"/>
    <w:rsid w:val="218762DA"/>
    <w:rsid w:val="21A40741"/>
    <w:rsid w:val="2583514D"/>
    <w:rsid w:val="25835E35"/>
    <w:rsid w:val="26F063B9"/>
    <w:rsid w:val="27267B08"/>
    <w:rsid w:val="27CF4FC9"/>
    <w:rsid w:val="2A5532CB"/>
    <w:rsid w:val="2A8175AA"/>
    <w:rsid w:val="2B916FE0"/>
    <w:rsid w:val="2B99138A"/>
    <w:rsid w:val="2BFE3BC7"/>
    <w:rsid w:val="32834AEE"/>
    <w:rsid w:val="349A5CE7"/>
    <w:rsid w:val="34EF30C9"/>
    <w:rsid w:val="3645211F"/>
    <w:rsid w:val="375114EA"/>
    <w:rsid w:val="37CD1A77"/>
    <w:rsid w:val="38811058"/>
    <w:rsid w:val="38842BDB"/>
    <w:rsid w:val="392044CE"/>
    <w:rsid w:val="3B5E74BB"/>
    <w:rsid w:val="3CCD524B"/>
    <w:rsid w:val="3CFC3C89"/>
    <w:rsid w:val="415728E8"/>
    <w:rsid w:val="42D134AB"/>
    <w:rsid w:val="44A53920"/>
    <w:rsid w:val="44BC2308"/>
    <w:rsid w:val="45D33C64"/>
    <w:rsid w:val="487A278D"/>
    <w:rsid w:val="4A9C25B0"/>
    <w:rsid w:val="4C31392D"/>
    <w:rsid w:val="4D8130BB"/>
    <w:rsid w:val="4E595A68"/>
    <w:rsid w:val="509500C1"/>
    <w:rsid w:val="50AF0EA8"/>
    <w:rsid w:val="52704023"/>
    <w:rsid w:val="55CD1977"/>
    <w:rsid w:val="56B909AE"/>
    <w:rsid w:val="56E706E0"/>
    <w:rsid w:val="574C2296"/>
    <w:rsid w:val="5D9B04A1"/>
    <w:rsid w:val="6054534C"/>
    <w:rsid w:val="62286042"/>
    <w:rsid w:val="645E1111"/>
    <w:rsid w:val="659C4CFC"/>
    <w:rsid w:val="679317CA"/>
    <w:rsid w:val="69F1218F"/>
    <w:rsid w:val="6B6445EA"/>
    <w:rsid w:val="6BD96E12"/>
    <w:rsid w:val="6C940C20"/>
    <w:rsid w:val="6DDD3F60"/>
    <w:rsid w:val="6F7C6E41"/>
    <w:rsid w:val="7120166B"/>
    <w:rsid w:val="715A1BEC"/>
    <w:rsid w:val="72166732"/>
    <w:rsid w:val="73BD6E31"/>
    <w:rsid w:val="7496678D"/>
    <w:rsid w:val="79C1351A"/>
    <w:rsid w:val="7B484FED"/>
    <w:rsid w:val="7B9C284F"/>
    <w:rsid w:val="7CB14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0"/>
    <w:pPr>
      <w:autoSpaceDE w:val="0"/>
      <w:autoSpaceDN w:val="0"/>
      <w:snapToGrid w:val="0"/>
      <w:spacing w:line="590" w:lineRule="atLeast"/>
      <w:ind w:firstLine="624"/>
      <w:jc w:val="left"/>
    </w:pPr>
    <w:rPr>
      <w:rFonts w:eastAsia="方正仿宋_GBK"/>
      <w:snapToGrid w:val="0"/>
      <w:kern w:val="0"/>
      <w:sz w:val="32"/>
      <w:szCs w:val="20"/>
    </w:rPr>
  </w:style>
  <w:style w:type="paragraph" w:styleId="4">
    <w:name w:val="Date"/>
    <w:basedOn w:val="1"/>
    <w:next w:val="1"/>
    <w:link w:val="13"/>
    <w:unhideWhenUsed/>
    <w:qFormat/>
    <w:uiPriority w:val="99"/>
    <w:pPr>
      <w:ind w:left="100" w:leftChars="2500"/>
    </w:pPr>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annotation reference"/>
    <w:unhideWhenUsed/>
    <w:qFormat/>
    <w:uiPriority w:val="0"/>
    <w:rPr>
      <w:sz w:val="21"/>
      <w:szCs w:val="21"/>
    </w:rPr>
  </w:style>
  <w:style w:type="character" w:customStyle="1" w:styleId="12">
    <w:name w:val="批注文字 字符"/>
    <w:link w:val="3"/>
    <w:qFormat/>
    <w:uiPriority w:val="0"/>
    <w:rPr>
      <w:rFonts w:eastAsia="方正仿宋_GBK"/>
      <w:snapToGrid w:val="0"/>
      <w:sz w:val="32"/>
    </w:rPr>
  </w:style>
  <w:style w:type="character" w:customStyle="1" w:styleId="13">
    <w:name w:val="日期 字符"/>
    <w:link w:val="4"/>
    <w:semiHidden/>
    <w:qFormat/>
    <w:uiPriority w:val="99"/>
    <w:rPr>
      <w:kern w:val="2"/>
      <w:sz w:val="21"/>
      <w:szCs w:val="24"/>
    </w:rPr>
  </w:style>
  <w:style w:type="character" w:customStyle="1" w:styleId="14">
    <w:name w:val="批注框文本 字符"/>
    <w:link w:val="5"/>
    <w:semiHidden/>
    <w:qFormat/>
    <w:uiPriority w:val="99"/>
    <w:rPr>
      <w:kern w:val="2"/>
      <w:sz w:val="18"/>
      <w:szCs w:val="18"/>
    </w:rPr>
  </w:style>
  <w:style w:type="character" w:customStyle="1" w:styleId="15">
    <w:name w:val="页脚 字符"/>
    <w:link w:val="6"/>
    <w:qFormat/>
    <w:uiPriority w:val="99"/>
    <w:rPr>
      <w:kern w:val="2"/>
      <w:sz w:val="18"/>
      <w:szCs w:val="18"/>
    </w:rPr>
  </w:style>
  <w:style w:type="character" w:customStyle="1" w:styleId="16">
    <w:name w:val="页眉 字符"/>
    <w:link w:val="7"/>
    <w:semiHidden/>
    <w:qFormat/>
    <w:uiPriority w:val="0"/>
    <w:rPr>
      <w:kern w:val="2"/>
      <w:sz w:val="18"/>
      <w:szCs w:val="18"/>
    </w:rPr>
  </w:style>
  <w:style w:type="character" w:customStyle="1" w:styleId="17">
    <w:name w:val="font11"/>
    <w:qFormat/>
    <w:uiPriority w:val="0"/>
    <w:rPr>
      <w:rFonts w:ascii="方正仿宋_GBK" w:hAnsi="方正仿宋_GBK" w:eastAsia="方正仿宋_GBK" w:cs="方正仿宋_GBK"/>
      <w:color w:val="000000"/>
      <w:sz w:val="28"/>
      <w:szCs w:val="28"/>
      <w:u w:val="none"/>
    </w:rPr>
  </w:style>
  <w:style w:type="paragraph" w:customStyle="1" w:styleId="18">
    <w:name w:val="密级"/>
    <w:basedOn w:val="1"/>
    <w:qFormat/>
    <w:uiPriority w:val="0"/>
    <w:pPr>
      <w:adjustRightInd w:val="0"/>
      <w:spacing w:line="425" w:lineRule="atLeast"/>
      <w:jc w:val="right"/>
    </w:pPr>
    <w:rPr>
      <w:rFonts w:ascii="黑体" w:eastAsia="黑体"/>
      <w:sz w:val="30"/>
    </w:rPr>
  </w:style>
  <w:style w:type="paragraph" w:customStyle="1" w:styleId="19">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0">
    <w:name w:val="红线"/>
    <w:basedOn w:val="2"/>
    <w:qFormat/>
    <w:uiPriority w:val="0"/>
    <w:pPr>
      <w:keepNext w:val="0"/>
      <w:keepLines w:val="0"/>
      <w:adjustRightInd w:val="0"/>
      <w:spacing w:before="0" w:after="851" w:line="227" w:lineRule="atLeast"/>
      <w:ind w:right="-142"/>
      <w:jc w:val="center"/>
      <w:outlineLvl w:val="9"/>
    </w:pPr>
    <w:rPr>
      <w:rFonts w:ascii="宋体"/>
      <w:bCs w:val="0"/>
      <w:kern w:val="0"/>
      <w:sz w:val="10"/>
      <w:szCs w:val="20"/>
    </w:rPr>
  </w:style>
  <w:style w:type="paragraph" w:styleId="21">
    <w:name w:val="List Paragraph"/>
    <w:basedOn w:val="1"/>
    <w:qFormat/>
    <w:uiPriority w:val="0"/>
    <w:pPr>
      <w:ind w:firstLine="420" w:firstLineChars="200"/>
    </w:pPr>
    <w:rPr>
      <w:rFonts w:ascii="Calibri" w:hAnsi="Calibri"/>
      <w:szCs w:val="22"/>
    </w:rPr>
  </w:style>
  <w:style w:type="paragraph" w:customStyle="1" w:styleId="22">
    <w:name w:val="_Style 21"/>
    <w:basedOn w:val="1"/>
    <w:next w:val="21"/>
    <w:qFormat/>
    <w:uiPriority w:val="0"/>
    <w:pPr>
      <w:ind w:firstLine="420" w:firstLineChars="200"/>
    </w:pPr>
    <w:rPr>
      <w:rFonts w:ascii="Calibri" w:hAnsi="Calibri"/>
      <w:szCs w:val="22"/>
    </w:rPr>
  </w:style>
  <w:style w:type="paragraph" w:customStyle="1" w:styleId="23">
    <w:name w:val="_Style 22"/>
    <w:basedOn w:val="1"/>
    <w:next w:val="21"/>
    <w:qFormat/>
    <w:uiPriority w:val="0"/>
    <w:pPr>
      <w:ind w:firstLine="420" w:firstLineChars="200"/>
    </w:pPr>
    <w:rPr>
      <w:rFonts w:ascii="Calibri" w:hAnsi="Calibri"/>
      <w:szCs w:val="22"/>
    </w:rPr>
  </w:style>
  <w:style w:type="paragraph" w:customStyle="1" w:styleId="24">
    <w:name w:val="_Style 23"/>
    <w:basedOn w:val="1"/>
    <w:next w:val="21"/>
    <w:qFormat/>
    <w:uiPriority w:val="0"/>
    <w:pPr>
      <w:ind w:firstLine="420" w:firstLineChars="200"/>
    </w:pPr>
    <w:rPr>
      <w:rFonts w:ascii="Calibri" w:hAnsi="Calibri"/>
      <w:szCs w:val="22"/>
    </w:rPr>
  </w:style>
  <w:style w:type="paragraph" w:customStyle="1" w:styleId="25">
    <w:name w:val="_Style 24"/>
    <w:basedOn w:val="1"/>
    <w:next w:val="2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2862</Words>
  <Characters>3057</Characters>
  <Lines>26</Lines>
  <Paragraphs>7</Paragraphs>
  <TotalTime>5</TotalTime>
  <ScaleCrop>false</ScaleCrop>
  <LinksUpToDate>false</LinksUpToDate>
  <CharactersWithSpaces>3059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2022-07-20T09:04:00Z</dcterms:created>
  <dc:creator>Administrator</dc:creator>
  <cp:lastModifiedBy>winter tea</cp:lastModifiedBy>
  <cp:lastPrinted>2022-05-17T10:57:00Z</cp:lastPrinted>
  <dcterms:modified xsi:type="dcterms:W3CDTF">2022-08-31T03:17:13Z</dcterms:modified>
  <dc:title>关于如东县南黄海竞技基地——滩涂极限运动体验区海洋环境影响评价报告表的</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1D4013D61BAD41B8BA0C0BE0E974E99D</vt:lpwstr>
  </property>
  <property fmtid="{D5CDD505-2E9C-101B-9397-08002B2CF9AE}" pid="4" name="commondata">
    <vt:lpwstr>eyJoZGlkIjoiOTI0ZDRhM2YxYWMzZWE1YzZiNGVjMDBmNTM1ODkzYmQifQ==</vt:lpwstr>
  </property>
</Properties>
</file>