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eastAsia="方正小标宋_GBK" w:cs="方正小标宋_GBK"/>
          <w:color w:val="000000"/>
          <w:sz w:val="44"/>
          <w:szCs w:val="44"/>
        </w:rPr>
      </w:pPr>
      <w:r>
        <w:rPr>
          <w:rFonts w:hint="eastAsia" w:eastAsia="方正小标宋_GBK" w:cs="方正小标宋_GBK"/>
          <w:color w:val="000000"/>
          <w:sz w:val="44"/>
          <w:szCs w:val="44"/>
        </w:rPr>
        <w:t>南通市绿色发展领军企业培育计划</w:t>
      </w:r>
    </w:p>
    <w:p>
      <w:pPr>
        <w:ind w:firstLine="0"/>
        <w:jc w:val="center"/>
        <w:rPr>
          <w:rFonts w:ascii="方正楷体_GBK" w:eastAsia="方正楷体_GBK"/>
          <w:color w:val="000000"/>
        </w:rPr>
      </w:pPr>
    </w:p>
    <w:p>
      <w:pPr>
        <w:ind w:firstLine="617" w:firstLineChars="195"/>
        <w:rPr>
          <w:color w:val="000000"/>
          <w:szCs w:val="32"/>
        </w:rPr>
      </w:pPr>
      <w:r>
        <w:rPr>
          <w:rFonts w:hint="eastAsia"/>
          <w:szCs w:val="32"/>
        </w:rPr>
        <w:t>为贯彻落实省生态环境厅、省工商业联合会联合印发的《关于实施绿色发展领军企业计划的意见》（苏环办〔2021〕310号）精神，</w:t>
      </w:r>
      <w:r>
        <w:rPr>
          <w:rFonts w:hint="eastAsia"/>
          <w:color w:val="000000"/>
          <w:szCs w:val="32"/>
        </w:rPr>
        <w:t>结合市委办、市政府办印发的《关于加大污染减排力度推进重点行业绿色发展的指导意见》（通办〔2021〕59号）等文件要求与我市实际，制定本计划。</w:t>
      </w:r>
    </w:p>
    <w:p>
      <w:pPr>
        <w:ind w:firstLine="617" w:firstLineChars="195"/>
        <w:rPr>
          <w:rFonts w:eastAsia="方正黑体_GBK" w:cs="方正黑体_GBK"/>
          <w:color w:val="000000"/>
        </w:rPr>
      </w:pPr>
      <w:r>
        <w:rPr>
          <w:rFonts w:hint="eastAsia" w:eastAsia="方正黑体_GBK" w:cs="方正黑体_GBK"/>
          <w:color w:val="000000"/>
        </w:rPr>
        <w:t>一、总体要求</w:t>
      </w:r>
    </w:p>
    <w:p>
      <w:pPr>
        <w:ind w:firstLine="617" w:firstLineChars="195"/>
        <w:rPr>
          <w:color w:val="000000"/>
          <w:szCs w:val="32"/>
        </w:rPr>
      </w:pPr>
      <w:r>
        <w:rPr>
          <w:rFonts w:hint="eastAsia"/>
          <w:color w:val="000000"/>
          <w:szCs w:val="32"/>
        </w:rPr>
        <w:t>深入贯彻</w:t>
      </w:r>
      <w:r>
        <w:rPr>
          <w:color w:val="000000"/>
          <w:szCs w:val="32"/>
        </w:rPr>
        <w:t>习近平</w:t>
      </w:r>
      <w:r>
        <w:rPr>
          <w:rFonts w:hint="eastAsia"/>
          <w:color w:val="000000"/>
          <w:szCs w:val="32"/>
        </w:rPr>
        <w:t>生态文明思想</w:t>
      </w:r>
      <w:r>
        <w:rPr>
          <w:color w:val="000000"/>
          <w:szCs w:val="32"/>
        </w:rPr>
        <w:t>，</w:t>
      </w:r>
      <w:r>
        <w:rPr>
          <w:rFonts w:hint="eastAsia"/>
          <w:szCs w:val="32"/>
        </w:rPr>
        <w:t>以推动高质量发展为导向，以绿色高端、减污降碳为引领，以技术和装备上的领先为目标，以法律法规、市场、行政等综合措施为激励，引导</w:t>
      </w:r>
      <w:r>
        <w:rPr>
          <w:szCs w:val="32"/>
        </w:rPr>
        <w:t>企业</w:t>
      </w:r>
      <w:r>
        <w:rPr>
          <w:rFonts w:hint="eastAsia"/>
          <w:szCs w:val="32"/>
        </w:rPr>
        <w:t>在工艺装备、节能降耗、循环利用、污染排放等方面提标升级，源头减少污染物排放，</w:t>
      </w:r>
      <w:r>
        <w:rPr>
          <w:rFonts w:hint="eastAsia"/>
          <w:color w:val="000000"/>
          <w:szCs w:val="32"/>
        </w:rPr>
        <w:t>树立龙头企业和行业标杆，</w:t>
      </w:r>
      <w:r>
        <w:rPr>
          <w:rFonts w:hint="eastAsia"/>
          <w:szCs w:val="32"/>
        </w:rPr>
        <w:t>加快建立绿色低碳循环发展的产业链条，</w:t>
      </w:r>
      <w:r>
        <w:rPr>
          <w:rFonts w:hint="eastAsia"/>
          <w:color w:val="000000"/>
          <w:szCs w:val="32"/>
        </w:rPr>
        <w:t>推动我市绿色产业高质量发展走在前列。</w:t>
      </w:r>
    </w:p>
    <w:p>
      <w:pPr>
        <w:ind w:firstLine="617" w:firstLineChars="195"/>
        <w:rPr>
          <w:rFonts w:eastAsia="方正黑体_GBK" w:cs="方正黑体_GBK"/>
          <w:color w:val="000000"/>
        </w:rPr>
      </w:pPr>
      <w:r>
        <w:rPr>
          <w:rFonts w:hint="eastAsia" w:eastAsia="方正黑体_GBK" w:cs="方正黑体_GBK"/>
          <w:color w:val="000000"/>
        </w:rPr>
        <w:t>二、工作目标</w:t>
      </w:r>
    </w:p>
    <w:p>
      <w:pPr>
        <w:ind w:firstLine="617" w:firstLineChars="195"/>
        <w:rPr>
          <w:color w:val="000000"/>
          <w:szCs w:val="32"/>
        </w:rPr>
      </w:pPr>
      <w:r>
        <w:rPr>
          <w:rFonts w:hint="eastAsia"/>
          <w:color w:val="000000"/>
          <w:szCs w:val="32"/>
        </w:rPr>
        <w:t>聚焦纺织印染、化工、电子</w:t>
      </w:r>
      <w:r>
        <w:rPr>
          <w:color w:val="000000"/>
          <w:szCs w:val="32"/>
        </w:rPr>
        <w:t>信息、</w:t>
      </w:r>
      <w:r>
        <w:rPr>
          <w:rFonts w:hint="eastAsia"/>
          <w:color w:val="000000"/>
          <w:szCs w:val="32"/>
        </w:rPr>
        <w:t>船舶海工、装备制造、电力与热力供应等重点行业，全市每年培养</w:t>
      </w:r>
      <w:r>
        <w:rPr>
          <w:color w:val="000000"/>
          <w:szCs w:val="32"/>
        </w:rPr>
        <w:t>10</w:t>
      </w:r>
      <w:r>
        <w:rPr>
          <w:rFonts w:hint="eastAsia"/>
          <w:color w:val="000000"/>
          <w:szCs w:val="32"/>
        </w:rPr>
        <w:t>家左右绿色发展领军企业。到2025年，全市绿色发展领军企业达到</w:t>
      </w:r>
      <w:r>
        <w:rPr>
          <w:color w:val="000000"/>
          <w:szCs w:val="32"/>
        </w:rPr>
        <w:t>50</w:t>
      </w:r>
      <w:r>
        <w:rPr>
          <w:rFonts w:hint="eastAsia"/>
          <w:color w:val="000000"/>
          <w:szCs w:val="32"/>
        </w:rPr>
        <w:t>家左右，着力打造高端绿色发展领军企业示范集群和绿色产业供应链，努力形成绿色发展示范带动效应。</w:t>
      </w:r>
    </w:p>
    <w:p>
      <w:pPr>
        <w:ind w:firstLine="617" w:firstLineChars="195"/>
        <w:rPr>
          <w:rFonts w:ascii="方正黑体_GBK" w:eastAsia="方正黑体_GBK"/>
          <w:color w:val="000000"/>
          <w:szCs w:val="32"/>
        </w:rPr>
      </w:pPr>
      <w:r>
        <w:rPr>
          <w:rFonts w:hint="eastAsia" w:ascii="方正黑体_GBK" w:eastAsia="方正黑体_GBK"/>
          <w:color w:val="000000"/>
          <w:szCs w:val="32"/>
        </w:rPr>
        <w:t>三、工作程序</w:t>
      </w:r>
    </w:p>
    <w:p>
      <w:pPr>
        <w:ind w:firstLine="617" w:firstLineChars="195"/>
        <w:rPr>
          <w:rFonts w:eastAsia="方正楷体_GBK" w:cs="方正楷体_GBK"/>
          <w:b/>
          <w:color w:val="000000"/>
        </w:rPr>
      </w:pPr>
      <w:r>
        <w:rPr>
          <w:rFonts w:hint="eastAsia" w:eastAsia="方正楷体_GBK" w:cs="方正楷体_GBK"/>
          <w:color w:val="000000"/>
        </w:rPr>
        <w:t>（一）成立领导小组。</w:t>
      </w:r>
      <w:r>
        <w:rPr>
          <w:rFonts w:hint="eastAsia"/>
          <w:color w:val="000000"/>
          <w:szCs w:val="32"/>
        </w:rPr>
        <w:t>市生态环境局与市工商业联合会（以下简称“工商联”）成立绿色发展领军企业计划领导小组，统筹推进绿色领军企业计划实施。领导小组下设办公室，具体负责绿色发展领军企业的评选和上报工作。</w:t>
      </w:r>
    </w:p>
    <w:p>
      <w:pPr>
        <w:ind w:firstLine="617" w:firstLineChars="195"/>
        <w:rPr>
          <w:rFonts w:eastAsia="方正楷体_GBK" w:cs="方正楷体_GBK"/>
          <w:color w:val="000000"/>
        </w:rPr>
      </w:pPr>
      <w:r>
        <w:rPr>
          <w:rFonts w:hint="eastAsia" w:eastAsia="方正楷体_GBK" w:cs="方正楷体_GBK"/>
          <w:color w:val="000000"/>
        </w:rPr>
        <w:t>（二）动员企业申报。</w:t>
      </w:r>
      <w:r>
        <w:rPr>
          <w:rFonts w:hint="eastAsia"/>
          <w:color w:val="000000"/>
          <w:szCs w:val="32"/>
        </w:rPr>
        <w:t>各地建立绿色发展领军企业储备库，动员企业主动实施</w:t>
      </w:r>
      <w:r>
        <w:rPr>
          <w:color w:val="000000"/>
          <w:szCs w:val="32"/>
        </w:rPr>
        <w:t>环保提标改造</w:t>
      </w:r>
      <w:r>
        <w:rPr>
          <w:rFonts w:hint="eastAsia"/>
          <w:color w:val="000000"/>
          <w:szCs w:val="32"/>
        </w:rPr>
        <w:t>、</w:t>
      </w:r>
      <w:r>
        <w:rPr>
          <w:color w:val="000000"/>
          <w:szCs w:val="32"/>
        </w:rPr>
        <w:t>淘汰落后装备、革新传统工艺技术，</w:t>
      </w:r>
      <w:r>
        <w:rPr>
          <w:rFonts w:hint="eastAsia"/>
          <w:color w:val="000000"/>
          <w:szCs w:val="32"/>
        </w:rPr>
        <w:t>推广</w:t>
      </w:r>
      <w:r>
        <w:rPr>
          <w:color w:val="000000"/>
          <w:szCs w:val="32"/>
        </w:rPr>
        <w:t>绿色建筑技术建设</w:t>
      </w:r>
      <w:r>
        <w:rPr>
          <w:rFonts w:hint="eastAsia"/>
          <w:color w:val="000000"/>
          <w:szCs w:val="32"/>
        </w:rPr>
        <w:t>和</w:t>
      </w:r>
      <w:r>
        <w:rPr>
          <w:color w:val="000000"/>
          <w:szCs w:val="32"/>
        </w:rPr>
        <w:t>改造厂房</w:t>
      </w:r>
      <w:r>
        <w:rPr>
          <w:rFonts w:hint="eastAsia"/>
          <w:color w:val="000000"/>
          <w:szCs w:val="32"/>
        </w:rPr>
        <w:t>，推进</w:t>
      </w:r>
      <w:r>
        <w:rPr>
          <w:color w:val="000000"/>
          <w:szCs w:val="32"/>
        </w:rPr>
        <w:t>产品设计、材料选用、生产、营销、回收利用、废弃物无害化处置等</w:t>
      </w:r>
      <w:r>
        <w:rPr>
          <w:rFonts w:hint="eastAsia"/>
          <w:color w:val="000000"/>
          <w:szCs w:val="32"/>
        </w:rPr>
        <w:t>全过程全周期绿色化，推动构建</w:t>
      </w:r>
      <w:r>
        <w:rPr>
          <w:color w:val="000000"/>
          <w:szCs w:val="32"/>
        </w:rPr>
        <w:t>绿色</w:t>
      </w:r>
      <w:r>
        <w:rPr>
          <w:rFonts w:hint="eastAsia"/>
          <w:color w:val="000000"/>
          <w:szCs w:val="32"/>
        </w:rPr>
        <w:t>供应</w:t>
      </w:r>
      <w:r>
        <w:rPr>
          <w:color w:val="000000"/>
          <w:szCs w:val="32"/>
        </w:rPr>
        <w:t>链</w:t>
      </w:r>
      <w:r>
        <w:rPr>
          <w:rFonts w:hint="eastAsia"/>
          <w:color w:val="000000"/>
          <w:szCs w:val="32"/>
        </w:rPr>
        <w:t>。按照自愿参与的原则，组织企业对照绿色发展领军企业评分指标开展自主评估，每年1月底前向所在县（市、区）生态环境部门、工商联提交申请。</w:t>
      </w:r>
    </w:p>
    <w:p>
      <w:pPr>
        <w:ind w:firstLine="617" w:firstLineChars="195"/>
        <w:jc w:val="left"/>
        <w:rPr>
          <w:color w:val="FF0000"/>
          <w:szCs w:val="32"/>
        </w:rPr>
      </w:pPr>
      <w:r>
        <w:rPr>
          <w:rFonts w:hint="eastAsia" w:eastAsia="方正楷体_GBK" w:cs="方正楷体_GBK"/>
          <w:color w:val="000000"/>
        </w:rPr>
        <w:t>（三）开展县级初审。</w:t>
      </w:r>
      <w:r>
        <w:rPr>
          <w:rFonts w:hint="eastAsia"/>
          <w:color w:val="000000"/>
          <w:szCs w:val="32"/>
        </w:rPr>
        <w:t>县（市、区）生态环境部门、工商联根据企业申请，对照评定标准对企业进行审核，包括材料审核、现场核查等，</w:t>
      </w:r>
      <w:r>
        <w:rPr>
          <w:rFonts w:hint="eastAsia"/>
          <w:szCs w:val="32"/>
        </w:rPr>
        <w:t>在当年2月底前提出初审意见，报市领导小组办公室</w:t>
      </w:r>
      <w:r>
        <w:rPr>
          <w:rFonts w:hint="eastAsia"/>
          <w:color w:val="000000"/>
          <w:szCs w:val="32"/>
        </w:rPr>
        <w:t>。各县（市、区）每年申报企业3家左右，优先申报企业环保信用为“绿色”、通过国家、省级绿色工厂验收、依法完成清洁生产审核的企业。</w:t>
      </w:r>
    </w:p>
    <w:p>
      <w:pPr>
        <w:ind w:firstLine="617" w:firstLineChars="195"/>
        <w:jc w:val="left"/>
        <w:rPr>
          <w:szCs w:val="32"/>
        </w:rPr>
      </w:pPr>
      <w:r>
        <w:rPr>
          <w:rFonts w:hint="eastAsia" w:eastAsia="方正楷体_GBK" w:cs="方正楷体_GBK"/>
          <w:color w:val="000000"/>
        </w:rPr>
        <w:t>（四）组织市级复核。</w:t>
      </w:r>
      <w:r>
        <w:rPr>
          <w:rFonts w:hint="eastAsia"/>
          <w:szCs w:val="32"/>
        </w:rPr>
        <w:t>市领导小组办公室根据企业自评结果、县（市、区）初审意见，</w:t>
      </w:r>
      <w:r>
        <w:rPr>
          <w:rFonts w:hint="eastAsia"/>
          <w:color w:val="000000"/>
          <w:szCs w:val="32"/>
        </w:rPr>
        <w:t>组织行业专家及相关处室单位</w:t>
      </w:r>
      <w:r>
        <w:rPr>
          <w:rFonts w:hint="eastAsia"/>
          <w:szCs w:val="32"/>
        </w:rPr>
        <w:t>对申报企业开展抽查复核。经领导小组同意后，在当年3月底前将复核结果上报省生态环境厅、省工商联。</w:t>
      </w:r>
    </w:p>
    <w:p>
      <w:pPr>
        <w:ind w:firstLine="617" w:firstLineChars="195"/>
        <w:jc w:val="left"/>
        <w:rPr>
          <w:szCs w:val="32"/>
        </w:rPr>
      </w:pPr>
      <w:r>
        <w:rPr>
          <w:rFonts w:hint="eastAsia" w:eastAsia="方正楷体_GBK" w:cs="方正楷体_GBK"/>
          <w:color w:val="000000"/>
        </w:rPr>
        <w:t>（五）兑现激励政策。</w:t>
      </w:r>
      <w:r>
        <w:rPr>
          <w:rFonts w:hint="eastAsia"/>
          <w:szCs w:val="32"/>
        </w:rPr>
        <w:t>省生态环境厅会同省工商联组织第三方评估机构对申报企业开展综合评价，在官方网站公示评选结果，公示无异议的，列入“绿色发展领军企业”名单。对名单内的企业，</w:t>
      </w:r>
      <w:r>
        <w:rPr>
          <w:rFonts w:hint="eastAsia"/>
          <w:color w:val="000000"/>
          <w:szCs w:val="32"/>
        </w:rPr>
        <w:t>统筹环评审批、环境执法、政策支持、科技服务、信任保护等各项环境政策激励措施，加大在生态环境领域的“放管服”改革支持力度。</w:t>
      </w:r>
    </w:p>
    <w:p>
      <w:pPr>
        <w:rPr>
          <w:szCs w:val="32"/>
        </w:rPr>
      </w:pPr>
      <w:r>
        <w:rPr>
          <w:rFonts w:hint="eastAsia" w:eastAsia="方正楷体_GBK" w:cs="方正楷体_GBK"/>
        </w:rPr>
        <w:t>（六）落实动态管理。</w:t>
      </w:r>
      <w:r>
        <w:rPr>
          <w:rFonts w:hint="eastAsia"/>
          <w:szCs w:val="32"/>
        </w:rPr>
        <w:t>在日常管理中发现存在评分指标基本要求任何一项否决项，或申报材料弄虚作假、不符合申报评定标准的，撤销“绿色发展领军企业”名录，取消原享受的各项激励政策。被撤销“绿色发展领军企业”名录的，2年内不得再次申报评定。</w:t>
      </w:r>
    </w:p>
    <w:p>
      <w:pPr>
        <w:ind w:firstLine="617" w:firstLineChars="195"/>
        <w:rPr>
          <w:rFonts w:ascii="方正黑体_GBK" w:eastAsia="方正黑体_GBK"/>
          <w:color w:val="000000"/>
          <w:szCs w:val="32"/>
        </w:rPr>
      </w:pPr>
      <w:r>
        <w:rPr>
          <w:rFonts w:hint="eastAsia" w:ascii="方正黑体_GBK" w:eastAsia="方正黑体_GBK"/>
          <w:color w:val="000000"/>
          <w:szCs w:val="32"/>
        </w:rPr>
        <w:t>四、激励支持政策</w:t>
      </w:r>
    </w:p>
    <w:p>
      <w:pPr>
        <w:ind w:firstLine="617" w:firstLineChars="195"/>
        <w:rPr>
          <w:rFonts w:eastAsia="方正楷体_GBK" w:cs="方正楷体_GBK"/>
          <w:color w:val="000000"/>
        </w:rPr>
      </w:pPr>
      <w:r>
        <w:rPr>
          <w:rFonts w:hint="eastAsia" w:eastAsia="方正楷体_GBK" w:cs="方正楷体_GBK"/>
          <w:color w:val="000000"/>
        </w:rPr>
        <w:t>（一）加大财税政策支持</w:t>
      </w:r>
    </w:p>
    <w:p>
      <w:pPr>
        <w:ind w:firstLine="617" w:firstLineChars="195"/>
        <w:rPr>
          <w:color w:val="FF0000"/>
          <w:szCs w:val="32"/>
        </w:rPr>
      </w:pPr>
      <w:r>
        <w:rPr>
          <w:color w:val="000000"/>
          <w:szCs w:val="32"/>
        </w:rPr>
        <w:t>1</w:t>
      </w:r>
      <w:r>
        <w:rPr>
          <w:rFonts w:hint="eastAsia"/>
          <w:color w:val="000000"/>
          <w:szCs w:val="32"/>
        </w:rPr>
        <w:t>.优先支持企业申报中央和省生态环境保护专项资金项目库，生态环境部门主动对接，做好项目申报的咨询和辅导。</w:t>
      </w:r>
    </w:p>
    <w:p>
      <w:pPr>
        <w:ind w:firstLine="617" w:firstLineChars="195"/>
        <w:rPr>
          <w:color w:val="000000"/>
          <w:szCs w:val="32"/>
        </w:rPr>
      </w:pPr>
      <w:r>
        <w:rPr>
          <w:rFonts w:hint="eastAsia"/>
          <w:szCs w:val="32"/>
        </w:rPr>
        <w:t>2.</w:t>
      </w:r>
      <w:r>
        <w:rPr>
          <w:rFonts w:hint="eastAsia"/>
          <w:color w:val="000000"/>
          <w:szCs w:val="32"/>
        </w:rPr>
        <w:t xml:space="preserve"> 指导帮助企业享受省绿色金融奖补资金、环责险贴息等政策，为企业提供排污权抵押贷款、环保贷等绿色金融相关政策咨询服务。</w:t>
      </w:r>
    </w:p>
    <w:p>
      <w:pPr>
        <w:ind w:firstLine="617" w:firstLineChars="195"/>
        <w:rPr>
          <w:rFonts w:eastAsia="方正楷体_GBK" w:cs="方正楷体_GBK"/>
          <w:color w:val="000000"/>
        </w:rPr>
      </w:pPr>
      <w:r>
        <w:rPr>
          <w:rFonts w:hint="eastAsia" w:eastAsia="方正楷体_GBK" w:cs="方正楷体_GBK"/>
          <w:color w:val="000000"/>
        </w:rPr>
        <w:t>（二）优化环境管理服务</w:t>
      </w:r>
    </w:p>
    <w:p>
      <w:pPr>
        <w:ind w:firstLine="617" w:firstLineChars="195"/>
        <w:rPr>
          <w:color w:val="000000"/>
          <w:szCs w:val="32"/>
        </w:rPr>
      </w:pPr>
      <w:r>
        <w:rPr>
          <w:color w:val="000000"/>
          <w:szCs w:val="32"/>
        </w:rPr>
        <w:t>3</w:t>
      </w:r>
      <w:r>
        <w:rPr>
          <w:rFonts w:hint="eastAsia"/>
          <w:color w:val="000000"/>
          <w:szCs w:val="32"/>
        </w:rPr>
        <w:t>.为企业提供“保姆式”服务，建立工作专班和信息库，减少企业申报材料，一企一策，综合运用环境管理监测监控信息化手段以服代管。为企业上门办理排污许可证，提高办理时效。</w:t>
      </w:r>
    </w:p>
    <w:p>
      <w:pPr>
        <w:ind w:firstLine="617" w:firstLineChars="195"/>
        <w:rPr>
          <w:color w:val="000000"/>
          <w:szCs w:val="32"/>
        </w:rPr>
      </w:pPr>
      <w:r>
        <w:rPr>
          <w:color w:val="000000"/>
          <w:szCs w:val="32"/>
        </w:rPr>
        <w:t>4</w:t>
      </w:r>
      <w:r>
        <w:rPr>
          <w:rFonts w:hint="eastAsia"/>
          <w:color w:val="000000"/>
          <w:szCs w:val="32"/>
        </w:rPr>
        <w:t>.定期组织专家开展定向精准帮扶，推动企业产业升级、节约原料、节能减排，促进企业减污增效。</w:t>
      </w:r>
    </w:p>
    <w:p>
      <w:pPr>
        <w:ind w:firstLine="617" w:firstLineChars="195"/>
        <w:rPr>
          <w:color w:val="000000"/>
          <w:szCs w:val="32"/>
        </w:rPr>
      </w:pPr>
      <w:r>
        <w:rPr>
          <w:color w:val="000000"/>
          <w:szCs w:val="32"/>
        </w:rPr>
        <w:t>5</w:t>
      </w:r>
      <w:r>
        <w:rPr>
          <w:rFonts w:hint="eastAsia"/>
          <w:color w:val="000000"/>
          <w:szCs w:val="32"/>
        </w:rPr>
        <w:t>.优先为企业提供招引人才、融资对接、拓展市场、校企合作、合法维权等方面的服务。</w:t>
      </w:r>
    </w:p>
    <w:p>
      <w:pPr>
        <w:ind w:firstLine="617" w:firstLineChars="195"/>
        <w:rPr>
          <w:color w:val="000000"/>
          <w:szCs w:val="32"/>
        </w:rPr>
      </w:pPr>
      <w:r>
        <w:rPr>
          <w:color w:val="000000"/>
          <w:szCs w:val="32"/>
        </w:rPr>
        <w:t>6</w:t>
      </w:r>
      <w:r>
        <w:rPr>
          <w:rFonts w:hint="eastAsia"/>
          <w:color w:val="000000"/>
          <w:szCs w:val="32"/>
        </w:rPr>
        <w:t>.优先安排参加企业环保接待日互动，优先安排对接民营企业环保服务站，反映企业环保诉求，获取具有建设性的意见建议和解决办法。</w:t>
      </w:r>
    </w:p>
    <w:p>
      <w:pPr>
        <w:ind w:firstLine="617" w:firstLineChars="195"/>
        <w:rPr>
          <w:color w:val="000000"/>
          <w:szCs w:val="32"/>
        </w:rPr>
      </w:pPr>
      <w:r>
        <w:rPr>
          <w:color w:val="000000"/>
          <w:szCs w:val="32"/>
        </w:rPr>
        <w:t>7</w:t>
      </w:r>
      <w:r>
        <w:rPr>
          <w:rFonts w:hint="eastAsia"/>
          <w:color w:val="000000"/>
          <w:szCs w:val="32"/>
        </w:rPr>
        <w:t>.优先安排参加环境治理供需对接洽谈会，</w:t>
      </w:r>
      <w:r>
        <w:rPr>
          <w:color w:val="000000"/>
          <w:szCs w:val="32"/>
        </w:rPr>
        <w:t>提升企业污染治理和环境管理决策水平</w:t>
      </w:r>
      <w:r>
        <w:rPr>
          <w:rFonts w:hint="eastAsia"/>
          <w:color w:val="000000"/>
          <w:szCs w:val="32"/>
        </w:rPr>
        <w:t>。</w:t>
      </w:r>
    </w:p>
    <w:p>
      <w:pPr>
        <w:ind w:firstLine="617" w:firstLineChars="195"/>
        <w:rPr>
          <w:rFonts w:eastAsia="方正楷体_GBK" w:cs="方正楷体_GBK"/>
          <w:color w:val="000000"/>
        </w:rPr>
      </w:pPr>
      <w:r>
        <w:rPr>
          <w:rFonts w:hint="eastAsia" w:eastAsia="方正楷体_GBK" w:cs="方正楷体_GBK"/>
          <w:color w:val="000000"/>
        </w:rPr>
        <w:t>（三）简化环评审批要求</w:t>
      </w:r>
    </w:p>
    <w:p>
      <w:pPr>
        <w:ind w:firstLine="617" w:firstLineChars="195"/>
        <w:rPr>
          <w:color w:val="000000"/>
          <w:szCs w:val="32"/>
        </w:rPr>
      </w:pPr>
      <w:r>
        <w:rPr>
          <w:rFonts w:hint="eastAsia"/>
          <w:color w:val="000000"/>
          <w:szCs w:val="32"/>
        </w:rPr>
        <w:t>8.</w:t>
      </w:r>
      <w:r>
        <w:rPr>
          <w:rFonts w:hint="eastAsia"/>
          <w:szCs w:val="32"/>
        </w:rPr>
        <w:t xml:space="preserve"> 企业新、改、扩建项目所在区域列入省产业园区生态环境政策集成改革试点，且该区域规划环评已通过审查并已落实审查意见的，项目环评原则上由设区市及以下环评审批部门审批。</w:t>
      </w:r>
    </w:p>
    <w:p>
      <w:pPr>
        <w:ind w:firstLine="617" w:firstLineChars="195"/>
        <w:rPr>
          <w:color w:val="000000"/>
          <w:szCs w:val="32"/>
        </w:rPr>
      </w:pPr>
      <w:r>
        <w:rPr>
          <w:color w:val="000000"/>
          <w:szCs w:val="32"/>
        </w:rPr>
        <w:t>9</w:t>
      </w:r>
      <w:r>
        <w:rPr>
          <w:rFonts w:hint="eastAsia"/>
          <w:color w:val="000000"/>
          <w:szCs w:val="32"/>
        </w:rPr>
        <w:t>.对企业新、改、扩建项目环评审批开辟“绿色通道”，实行受理、公示、评估、审查流程“四同步”，落实环评审批“减半”要求。</w:t>
      </w:r>
    </w:p>
    <w:p>
      <w:pPr>
        <w:ind w:firstLine="617" w:firstLineChars="195"/>
        <w:rPr>
          <w:color w:val="000000"/>
          <w:szCs w:val="32"/>
        </w:rPr>
      </w:pPr>
      <w:r>
        <w:rPr>
          <w:color w:val="000000"/>
          <w:szCs w:val="32"/>
        </w:rPr>
        <w:t>10</w:t>
      </w:r>
      <w:r>
        <w:rPr>
          <w:rFonts w:hint="eastAsia"/>
          <w:color w:val="000000"/>
          <w:szCs w:val="32"/>
        </w:rPr>
        <w:t>.企业新、改、扩建项目属于《环境影响评价审批正面清单》中环评豁免范围的，全部实行环评豁免。</w:t>
      </w:r>
    </w:p>
    <w:p>
      <w:pPr>
        <w:ind w:firstLine="617" w:firstLineChars="195"/>
        <w:rPr>
          <w:color w:val="000000"/>
          <w:szCs w:val="32"/>
        </w:rPr>
      </w:pPr>
      <w:r>
        <w:rPr>
          <w:color w:val="000000"/>
          <w:szCs w:val="32"/>
        </w:rPr>
        <w:t>11</w:t>
      </w:r>
      <w:r>
        <w:rPr>
          <w:rFonts w:hint="eastAsia"/>
          <w:color w:val="000000"/>
          <w:szCs w:val="32"/>
        </w:rPr>
        <w:t>.</w:t>
      </w:r>
      <w:r>
        <w:rPr>
          <w:rFonts w:hint="eastAsia"/>
          <w:szCs w:val="32"/>
        </w:rPr>
        <w:t>企业新、改、扩建项目属于《环境影响评价审批正面清单》中环评告知承诺制审批改革试点范围的，在签署告知承诺书和递交符合要求的环评材料后，可不经评估、审查，直接作出审批决定。</w:t>
      </w:r>
    </w:p>
    <w:p>
      <w:pPr>
        <w:ind w:firstLine="617" w:firstLineChars="195"/>
        <w:rPr>
          <w:rFonts w:hint="eastAsia"/>
          <w:color w:val="FF0000"/>
          <w:szCs w:val="32"/>
        </w:rPr>
      </w:pPr>
      <w:r>
        <w:rPr>
          <w:szCs w:val="32"/>
        </w:rPr>
        <w:t>12</w:t>
      </w:r>
      <w:r>
        <w:rPr>
          <w:rFonts w:hint="eastAsia"/>
          <w:szCs w:val="32"/>
        </w:rPr>
        <w:t>.企业新、改、扩建项目属于《建设项目环境影响评价分类管理目录》以外的，项目不需再进行环境影响评价。</w:t>
      </w:r>
    </w:p>
    <w:p>
      <w:pPr>
        <w:ind w:firstLine="617" w:firstLineChars="195"/>
        <w:rPr>
          <w:szCs w:val="32"/>
        </w:rPr>
      </w:pPr>
      <w:r>
        <w:rPr>
          <w:szCs w:val="32"/>
        </w:rPr>
        <w:t>13</w:t>
      </w:r>
      <w:r>
        <w:rPr>
          <w:rFonts w:hint="eastAsia"/>
          <w:szCs w:val="32"/>
        </w:rPr>
        <w:t>.企业不增加生产设备、不新增污染物排放的技改项目，项目环评实行备案制。</w:t>
      </w:r>
    </w:p>
    <w:p>
      <w:pPr>
        <w:ind w:firstLine="617" w:firstLineChars="195"/>
        <w:rPr>
          <w:color w:val="000000"/>
          <w:szCs w:val="32"/>
        </w:rPr>
      </w:pPr>
      <w:r>
        <w:rPr>
          <w:szCs w:val="32"/>
        </w:rPr>
        <w:t>14</w:t>
      </w:r>
      <w:r>
        <w:rPr>
          <w:rFonts w:hint="eastAsia"/>
          <w:szCs w:val="32"/>
        </w:rPr>
        <w:t>.</w:t>
      </w:r>
      <w:r>
        <w:rPr>
          <w:rFonts w:hint="eastAsia"/>
          <w:color w:val="000000"/>
          <w:szCs w:val="32"/>
        </w:rPr>
        <w:t>对企业新、改、扩建项目需要增加排污总量或排污权的，优先调剂；所在地区平衡排污总量指标确有困难的，申请省级统筹。</w:t>
      </w:r>
    </w:p>
    <w:p>
      <w:pPr>
        <w:ind w:firstLine="617" w:firstLineChars="195"/>
        <w:rPr>
          <w:rFonts w:eastAsia="方正楷体_GBK" w:cs="方正楷体_GBK"/>
          <w:b/>
          <w:color w:val="000000"/>
        </w:rPr>
      </w:pPr>
      <w:r>
        <w:rPr>
          <w:color w:val="000000"/>
          <w:szCs w:val="32"/>
        </w:rPr>
        <w:t>15</w:t>
      </w:r>
      <w:r>
        <w:rPr>
          <w:rFonts w:hint="eastAsia"/>
          <w:color w:val="000000"/>
          <w:szCs w:val="32"/>
        </w:rPr>
        <w:t>.</w:t>
      </w:r>
      <w:r>
        <w:rPr>
          <w:rFonts w:hint="eastAsia"/>
          <w:szCs w:val="32"/>
        </w:rPr>
        <w:t>项目环评审批中涉及企业技术秘密和商业秘密的，严格回避涉密内容，进行掩密处理，充分保护企业知识产权。</w:t>
      </w:r>
    </w:p>
    <w:p>
      <w:pPr>
        <w:ind w:firstLine="617" w:firstLineChars="195"/>
        <w:rPr>
          <w:rFonts w:eastAsia="方正楷体_GBK" w:cs="方正楷体_GBK"/>
          <w:color w:val="000000"/>
        </w:rPr>
      </w:pPr>
      <w:r>
        <w:rPr>
          <w:rFonts w:hint="eastAsia" w:eastAsia="方正楷体_GBK" w:cs="方正楷体_GBK"/>
          <w:color w:val="000000"/>
        </w:rPr>
        <w:t>（四）优先提供科技服务</w:t>
      </w:r>
    </w:p>
    <w:p>
      <w:pPr>
        <w:ind w:firstLine="617" w:firstLineChars="195"/>
        <w:rPr>
          <w:color w:val="FF0000"/>
          <w:szCs w:val="32"/>
        </w:rPr>
      </w:pPr>
      <w:r>
        <w:rPr>
          <w:szCs w:val="32"/>
        </w:rPr>
        <w:t>16</w:t>
      </w:r>
      <w:r>
        <w:rPr>
          <w:rFonts w:hint="eastAsia"/>
          <w:szCs w:val="32"/>
        </w:rPr>
        <w:t>.</w:t>
      </w:r>
      <w:r>
        <w:rPr>
          <w:rFonts w:hint="eastAsia"/>
          <w:color w:val="000000"/>
          <w:szCs w:val="32"/>
        </w:rPr>
        <w:t>企业符合条件的专职环保管理人员优先纳入各级环保专家库，在职称评定中给予适度倾斜。</w:t>
      </w:r>
    </w:p>
    <w:p>
      <w:pPr>
        <w:ind w:firstLine="617" w:firstLineChars="195"/>
        <w:rPr>
          <w:color w:val="FF0000"/>
          <w:szCs w:val="32"/>
        </w:rPr>
      </w:pPr>
      <w:r>
        <w:rPr>
          <w:szCs w:val="32"/>
        </w:rPr>
        <w:t>17</w:t>
      </w:r>
      <w:r>
        <w:rPr>
          <w:rFonts w:hint="eastAsia"/>
          <w:szCs w:val="32"/>
        </w:rPr>
        <w:t>.</w:t>
      </w:r>
      <w:r>
        <w:rPr>
          <w:rFonts w:hint="eastAsia"/>
          <w:color w:val="000000"/>
          <w:szCs w:val="32"/>
        </w:rPr>
        <w:t>符合条件的企业可优先申报省生态环境重点实验室、工程技术中心。</w:t>
      </w:r>
    </w:p>
    <w:p>
      <w:pPr>
        <w:ind w:firstLine="617" w:firstLineChars="195"/>
        <w:rPr>
          <w:rFonts w:eastAsia="方正楷体_GBK" w:cs="方正楷体_GBK"/>
          <w:b/>
          <w:color w:val="000000"/>
        </w:rPr>
      </w:pPr>
      <w:r>
        <w:rPr>
          <w:rFonts w:hint="eastAsia"/>
          <w:szCs w:val="32"/>
        </w:rPr>
        <w:t>1</w:t>
      </w:r>
      <w:r>
        <w:rPr>
          <w:szCs w:val="32"/>
        </w:rPr>
        <w:t>8</w:t>
      </w:r>
      <w:r>
        <w:rPr>
          <w:rFonts w:hint="eastAsia"/>
          <w:szCs w:val="32"/>
        </w:rPr>
        <w:t>.优先安排参加国际环保新技术大会，优先享受前沿环保技术服务。</w:t>
      </w:r>
    </w:p>
    <w:p>
      <w:pPr>
        <w:ind w:firstLine="617" w:firstLineChars="195"/>
        <w:rPr>
          <w:rFonts w:eastAsia="方正楷体_GBK" w:cs="方正楷体_GBK"/>
          <w:color w:val="000000"/>
        </w:rPr>
      </w:pPr>
      <w:r>
        <w:rPr>
          <w:rFonts w:hint="eastAsia" w:eastAsia="方正楷体_GBK" w:cs="方正楷体_GBK"/>
          <w:color w:val="000000"/>
        </w:rPr>
        <w:t>（五）实行包容审慎监管</w:t>
      </w:r>
    </w:p>
    <w:p>
      <w:pPr>
        <w:ind w:firstLine="617" w:firstLineChars="195"/>
        <w:rPr>
          <w:szCs w:val="32"/>
        </w:rPr>
      </w:pPr>
      <w:r>
        <w:rPr>
          <w:rFonts w:hint="eastAsia"/>
          <w:szCs w:val="32"/>
        </w:rPr>
        <w:t>1</w:t>
      </w:r>
      <w:r>
        <w:rPr>
          <w:szCs w:val="32"/>
        </w:rPr>
        <w:t>9</w:t>
      </w:r>
      <w:r>
        <w:rPr>
          <w:rFonts w:hint="eastAsia"/>
          <w:szCs w:val="32"/>
        </w:rPr>
        <w:t>.属于生态环境部《监督执法正面清单》前五类的企业，除投诉举报、媒体曝光、应急处置等必须开展的现场检查外，原则上只通过非现场执法的方式开展执法监督。</w:t>
      </w:r>
    </w:p>
    <w:p>
      <w:pPr>
        <w:ind w:firstLine="617" w:firstLineChars="195"/>
        <w:rPr>
          <w:szCs w:val="32"/>
        </w:rPr>
      </w:pPr>
      <w:r>
        <w:rPr>
          <w:szCs w:val="32"/>
        </w:rPr>
        <w:t>20</w:t>
      </w:r>
      <w:r>
        <w:rPr>
          <w:rFonts w:hint="eastAsia"/>
          <w:szCs w:val="32"/>
        </w:rPr>
        <w:t>.属于生态环境部《监督执法正面清单》第六类以及其他行业的企业，减少现场检查频次，将在线监测监控数据作为监管的重要依据，以非现场执法的方式开展执法监督为主，“双随机、一公开”检查原则上每年不超过一次，其他除投诉举报、媒体曝光、应急处置等必须开展的检查外，一般不再进行现场执法检查。</w:t>
      </w:r>
    </w:p>
    <w:p>
      <w:pPr>
        <w:ind w:firstLine="617" w:firstLineChars="195"/>
        <w:rPr>
          <w:color w:val="000000"/>
          <w:szCs w:val="32"/>
        </w:rPr>
      </w:pPr>
      <w:r>
        <w:rPr>
          <w:szCs w:val="32"/>
        </w:rPr>
        <w:t>21</w:t>
      </w:r>
      <w:r>
        <w:rPr>
          <w:rFonts w:hint="eastAsia"/>
          <w:szCs w:val="32"/>
        </w:rPr>
        <w:t>.</w:t>
      </w:r>
      <w:r>
        <w:rPr>
          <w:rFonts w:hint="eastAsia"/>
          <w:color w:val="000000"/>
          <w:szCs w:val="32"/>
        </w:rPr>
        <w:t>企业自动纳入应急管控停限产豁免名单，免于执行应急停产、错峰生产等管控措施；在各类专项检查、交叉检查、重大活动保障中，适用豁免检查。</w:t>
      </w:r>
    </w:p>
    <w:p>
      <w:pPr>
        <w:ind w:firstLine="617" w:firstLineChars="195"/>
        <w:rPr>
          <w:color w:val="000000"/>
          <w:szCs w:val="32"/>
        </w:rPr>
      </w:pPr>
      <w:r>
        <w:rPr>
          <w:color w:val="000000"/>
          <w:szCs w:val="32"/>
        </w:rPr>
        <w:t>22</w:t>
      </w:r>
      <w:r>
        <w:rPr>
          <w:rFonts w:hint="eastAsia"/>
          <w:color w:val="000000"/>
          <w:szCs w:val="32"/>
        </w:rPr>
        <w:t>.企业没有主观过错，危害后果轻微，原则上不采取停工停产整治措施；初次违法且危害后果轻微并及时改正，当事人有证据足以证明没有主观过错，可以不予行政处罚。</w:t>
      </w:r>
    </w:p>
    <w:p>
      <w:pPr>
        <w:ind w:firstLine="617" w:firstLineChars="195"/>
        <w:rPr>
          <w:color w:val="FF0000"/>
          <w:szCs w:val="32"/>
        </w:rPr>
      </w:pPr>
      <w:r>
        <w:rPr>
          <w:color w:val="000000"/>
          <w:szCs w:val="32"/>
        </w:rPr>
        <w:t>23</w:t>
      </w:r>
      <w:r>
        <w:rPr>
          <w:rFonts w:hint="eastAsia"/>
          <w:color w:val="000000"/>
          <w:szCs w:val="32"/>
        </w:rPr>
        <w:t>.强化信任保护，经生态环境部门核查后纳入环保示范性企业，企业环保信用等级评定为“绿色”，“环保脸谱”颜色显示为“绿色”，落实“无事不扰”各项措施。</w:t>
      </w:r>
    </w:p>
    <w:p>
      <w:pPr>
        <w:ind w:firstLine="617" w:firstLineChars="195"/>
        <w:rPr>
          <w:rFonts w:eastAsia="方正黑体_GBK" w:cs="方正黑体_GBK"/>
          <w:color w:val="000000"/>
        </w:rPr>
      </w:pPr>
      <w:r>
        <w:rPr>
          <w:rFonts w:hint="eastAsia" w:eastAsia="方正黑体_GBK" w:cs="方正黑体_GBK"/>
          <w:color w:val="000000"/>
        </w:rPr>
        <w:t>五、保障措施</w:t>
      </w:r>
    </w:p>
    <w:p>
      <w:pPr>
        <w:ind w:firstLine="617" w:firstLineChars="195"/>
        <w:rPr>
          <w:color w:val="000000"/>
          <w:szCs w:val="32"/>
        </w:rPr>
      </w:pPr>
      <w:r>
        <w:rPr>
          <w:rFonts w:hint="eastAsia" w:eastAsia="方正楷体_GBK" w:cs="方正楷体_GBK"/>
          <w:color w:val="000000"/>
        </w:rPr>
        <w:t>（一）加强组织领导。</w:t>
      </w:r>
      <w:r>
        <w:rPr>
          <w:rFonts w:hint="eastAsia"/>
          <w:color w:val="000000"/>
          <w:szCs w:val="32"/>
        </w:rPr>
        <w:t>高度重视实施绿色领军企业计划在促进产业转型升级，推动减污降碳、源头治理中的重要意义，不断完善绿色发展领军企业计划，扩大绿色企业覆盖领域，健全优化企业绿色发展的政策环境，共同推进产业转型升级。县（市、区）生态环境部门、工商联形成合力，共同推进计划实施。</w:t>
      </w:r>
    </w:p>
    <w:p>
      <w:pPr>
        <w:ind w:firstLine="617" w:firstLineChars="195"/>
        <w:rPr>
          <w:color w:val="FF0000"/>
          <w:szCs w:val="32"/>
        </w:rPr>
      </w:pPr>
      <w:r>
        <w:rPr>
          <w:rFonts w:hint="eastAsia" w:eastAsia="方正楷体_GBK" w:cs="方正楷体_GBK"/>
          <w:color w:val="000000"/>
        </w:rPr>
        <w:t>（二）加大政策宣传。</w:t>
      </w:r>
      <w:r>
        <w:rPr>
          <w:rFonts w:hint="eastAsia"/>
          <w:color w:val="000000"/>
          <w:szCs w:val="32"/>
        </w:rPr>
        <w:t>依托各类媒体平台广泛宣传培育计划的重要意义，组织辖区重点行业重点企业积极参与，动员广大企业牢固树立绿水青山就是金山银山的发展理念，主动</w:t>
      </w:r>
      <w:r>
        <w:rPr>
          <w:color w:val="000000"/>
          <w:szCs w:val="32"/>
        </w:rPr>
        <w:t>开展生产工艺、清洁用能、污染治理设施改造，</w:t>
      </w:r>
      <w:r>
        <w:rPr>
          <w:rFonts w:hint="eastAsia"/>
          <w:color w:val="000000"/>
          <w:szCs w:val="32"/>
        </w:rPr>
        <w:t>从源头、过程和末端全方位减少污染物排放，在清洁生产过程中比学赶超，营造保护环境就是发展生产力的浓厚氛围。</w:t>
      </w:r>
    </w:p>
    <w:p>
      <w:pPr>
        <w:ind w:firstLine="617" w:firstLineChars="195"/>
        <w:rPr>
          <w:color w:val="000000"/>
          <w:szCs w:val="32"/>
        </w:rPr>
      </w:pPr>
      <w:r>
        <w:rPr>
          <w:rFonts w:hint="eastAsia" w:eastAsia="方正楷体_GBK" w:cs="方正楷体_GBK"/>
          <w:color w:val="000000"/>
        </w:rPr>
        <w:t>（三）强化服务意识。</w:t>
      </w:r>
      <w:r>
        <w:rPr>
          <w:rFonts w:hint="eastAsia"/>
          <w:color w:val="000000"/>
          <w:szCs w:val="32"/>
        </w:rPr>
        <w:t>依托民营企业环保服务站，通过开展</w:t>
      </w:r>
      <w:r>
        <w:rPr>
          <w:rFonts w:hint="eastAsia"/>
          <w:szCs w:val="32"/>
        </w:rPr>
        <w:t>企业环保接待日、环境治理供需对接洽谈会等活动，</w:t>
      </w:r>
      <w:r>
        <w:rPr>
          <w:rFonts w:hint="eastAsia"/>
          <w:color w:val="000000"/>
          <w:szCs w:val="32"/>
        </w:rPr>
        <w:t>及时掌握企业困难和需要生态环境部门支持的事项，主动帮助企业寻求高效治污方案，提升污染治理水平，同时坚决兑现各项激励措施，助力企业绿色健康发展，共同推进经济社会高质量发展、生态环境高水平保护。</w:t>
      </w:r>
    </w:p>
    <w:p>
      <w:pPr>
        <w:ind w:firstLine="617" w:firstLineChars="195"/>
        <w:rPr>
          <w:color w:val="000000"/>
          <w:szCs w:val="32"/>
        </w:rPr>
      </w:pPr>
      <w:r>
        <w:rPr>
          <w:rFonts w:hint="eastAsia" w:eastAsia="方正楷体_GBK" w:cs="方正楷体_GBK"/>
          <w:color w:val="000000"/>
        </w:rPr>
        <w:t>（四）加强纪律监督。</w:t>
      </w:r>
      <w:r>
        <w:rPr>
          <w:rFonts w:hint="eastAsia"/>
          <w:szCs w:val="32"/>
        </w:rPr>
        <w:t>主动靠前，对工作流程、工作作风等实施过程监督，坚决杜绝不作为、慢作为、乱作为等违规违纪现象。加强激励政策实施效率监督，确保各项激励政策达到促进绿色发展目标。</w:t>
      </w:r>
    </w:p>
    <w:p>
      <w:pPr>
        <w:ind w:firstLine="617" w:firstLineChars="195"/>
        <w:rPr>
          <w:color w:val="000000"/>
          <w:szCs w:val="32"/>
        </w:rPr>
      </w:pPr>
      <w:r>
        <w:rPr>
          <w:rFonts w:hint="eastAsia"/>
          <w:color w:val="000000"/>
          <w:szCs w:val="32"/>
        </w:rPr>
        <w:t>（联系人：市生态环境局 曹馨，</w:t>
      </w:r>
      <w:r>
        <w:rPr>
          <w:color w:val="000000"/>
          <w:szCs w:val="32"/>
        </w:rPr>
        <w:t>0513</w:t>
      </w:r>
      <w:r>
        <w:rPr>
          <w:rFonts w:hint="eastAsia"/>
          <w:color w:val="000000"/>
          <w:szCs w:val="32"/>
        </w:rPr>
        <w:t>-</w:t>
      </w:r>
      <w:r>
        <w:rPr>
          <w:color w:val="000000"/>
          <w:szCs w:val="32"/>
        </w:rPr>
        <w:t>59002803</w:t>
      </w:r>
      <w:r>
        <w:rPr>
          <w:rFonts w:hint="eastAsia"/>
          <w:color w:val="000000"/>
          <w:szCs w:val="32"/>
        </w:rPr>
        <w:t>；市工商业联合会 朱兴建，0513-</w:t>
      </w:r>
      <w:r>
        <w:rPr>
          <w:color w:val="000000"/>
          <w:szCs w:val="32"/>
        </w:rPr>
        <w:t>51015799</w:t>
      </w:r>
      <w:r>
        <w:rPr>
          <w:rFonts w:hint="eastAsia"/>
          <w:color w:val="000000"/>
          <w:szCs w:val="32"/>
        </w:rPr>
        <w:t>）</w:t>
      </w:r>
    </w:p>
    <w:p>
      <w:pPr>
        <w:ind w:firstLine="617" w:firstLineChars="195"/>
        <w:rPr>
          <w:color w:val="000000"/>
          <w:szCs w:val="32"/>
        </w:rPr>
      </w:pPr>
    </w:p>
    <w:p>
      <w:pPr>
        <w:ind w:firstLine="617" w:firstLineChars="195"/>
        <w:rPr>
          <w:color w:val="000000"/>
          <w:szCs w:val="32"/>
        </w:rPr>
      </w:pPr>
      <w:r>
        <w:rPr>
          <w:rFonts w:hint="eastAsia"/>
          <w:color w:val="000000"/>
          <w:szCs w:val="32"/>
        </w:rPr>
        <w:t>附件：</w:t>
      </w:r>
      <w:r>
        <w:rPr>
          <w:rFonts w:hint="eastAsia"/>
          <w:color w:val="000000"/>
          <w:szCs w:val="32"/>
        </w:rPr>
        <w:tab/>
      </w:r>
      <w:r>
        <w:rPr>
          <w:rFonts w:hint="eastAsia"/>
          <w:color w:val="000000"/>
          <w:szCs w:val="32"/>
        </w:rPr>
        <w:t>1. 绿色领军企业评定标准</w:t>
      </w:r>
    </w:p>
    <w:p>
      <w:pPr>
        <w:ind w:left="5" w:firstLine="1580" w:firstLineChars="500"/>
        <w:rPr>
          <w:color w:val="000000"/>
          <w:szCs w:val="32"/>
        </w:rPr>
      </w:pPr>
      <w:r>
        <w:rPr>
          <w:rFonts w:hint="eastAsia"/>
          <w:color w:val="000000"/>
          <w:szCs w:val="32"/>
        </w:rPr>
        <w:t>2. 江苏省绿色发展领军企业申请表</w:t>
      </w:r>
    </w:p>
    <w:p>
      <w:pPr>
        <w:ind w:firstLine="0"/>
        <w:rPr>
          <w:rFonts w:ascii="方正黑体_GBK" w:eastAsia="方正黑体_GBK"/>
          <w:szCs w:val="32"/>
        </w:rPr>
      </w:pPr>
      <w:r>
        <w:rPr>
          <w:rFonts w:eastAsia="方正黑体_GBK" w:cs="方正黑体_GBK"/>
          <w:color w:val="000000"/>
        </w:rPr>
        <w:br w:type="page"/>
      </w:r>
      <w:r>
        <w:rPr>
          <w:rFonts w:hint="eastAsia" w:ascii="方正黑体_GBK" w:eastAsia="方正黑体_GBK"/>
          <w:szCs w:val="32"/>
        </w:rPr>
        <w:t>附件1</w:t>
      </w:r>
    </w:p>
    <w:p>
      <w:pPr>
        <w:spacing w:line="240" w:lineRule="auto"/>
        <w:ind w:firstLine="0"/>
        <w:rPr>
          <w:szCs w:val="32"/>
        </w:rPr>
      </w:pPr>
    </w:p>
    <w:p>
      <w:pPr>
        <w:pStyle w:val="6"/>
      </w:pPr>
      <w:r>
        <w:rPr>
          <w:rFonts w:hint="eastAsia"/>
        </w:rPr>
        <w:t>绿色领军企业评定标准</w:t>
      </w:r>
    </w:p>
    <w:p>
      <w:pPr>
        <w:spacing w:line="240" w:lineRule="auto"/>
        <w:rPr>
          <w:rFonts w:eastAsia="方正楷体_GBK" w:cs="方正楷体_GBK"/>
          <w:b/>
        </w:rPr>
      </w:pPr>
    </w:p>
    <w:p>
      <w:pPr>
        <w:rPr>
          <w:rFonts w:eastAsia="方正楷体_GBK" w:cs="方正楷体_GBK"/>
          <w:b/>
        </w:rPr>
      </w:pPr>
      <w:r>
        <w:rPr>
          <w:rFonts w:hint="eastAsia" w:eastAsia="方正楷体_GBK" w:cs="方正楷体_GBK"/>
          <w:b/>
        </w:rPr>
        <w:t>一、基本要求（否决项）</w:t>
      </w:r>
    </w:p>
    <w:p>
      <w:pPr>
        <w:rPr>
          <w:szCs w:val="32"/>
        </w:rPr>
      </w:pPr>
      <w:r>
        <w:rPr>
          <w:rFonts w:hint="eastAsia"/>
          <w:szCs w:val="32"/>
        </w:rPr>
        <w:t>1.按照《环境管理体系要求及使用指南》（GB/T24001—2016/ISO14001:2015），建立实施企业环境管理体系。</w:t>
      </w:r>
    </w:p>
    <w:p>
      <w:r>
        <w:rPr>
          <w:rFonts w:hint="eastAsia"/>
          <w:szCs w:val="32"/>
        </w:rPr>
        <w:t>2.生产工艺装备及产品符合《促进产业结构调整暂行规定》有关要求，不属于《产业结构调整指导目录》</w:t>
      </w:r>
      <w:r>
        <w:rPr>
          <w:rFonts w:hint="eastAsia"/>
        </w:rPr>
        <w:t>《部分工业行业淘汰落后生产工艺装备和产品指导目录》《长江经济带发展负面清单指南》《</w:t>
      </w:r>
      <w:r>
        <w:rPr>
          <w:rFonts w:hint="eastAsia" w:ascii="方正仿宋_GBK" w:hAnsi="方正仿宋_GBK" w:cs="方正仿宋_GBK"/>
        </w:rPr>
        <w:t>﹤</w:t>
      </w:r>
      <w:r>
        <w:rPr>
          <w:rFonts w:hint="eastAsia"/>
        </w:rPr>
        <w:t>长江经济带发展负面清单指南</w:t>
      </w:r>
      <w:r>
        <w:rPr>
          <w:rFonts w:hint="eastAsia" w:ascii="方正仿宋_GBK" w:hAnsi="方正仿宋_GBK" w:cs="方正仿宋_GBK"/>
        </w:rPr>
        <w:t>﹥江苏省实施细则</w:t>
      </w:r>
      <w:r>
        <w:rPr>
          <w:rFonts w:hint="eastAsia"/>
        </w:rPr>
        <w:t>》《江苏省工业和信息产业结构调整指导目录》《江苏省化工产业结构调整限制、淘汰和禁止目录》等国家、省明确的限制、淘汰和禁止类。</w:t>
      </w:r>
    </w:p>
    <w:p>
      <w:pPr>
        <w:rPr>
          <w:szCs w:val="32"/>
        </w:rPr>
      </w:pPr>
      <w:r>
        <w:rPr>
          <w:rFonts w:hint="eastAsia"/>
        </w:rPr>
        <w:t>3.企业在线监测监控系统与生态环境部门联网。</w:t>
      </w:r>
    </w:p>
    <w:p>
      <w:pPr>
        <w:rPr>
          <w:szCs w:val="32"/>
        </w:rPr>
      </w:pPr>
      <w:r>
        <w:rPr>
          <w:rFonts w:hint="eastAsia"/>
          <w:szCs w:val="32"/>
        </w:rPr>
        <w:t>4.近三年内无重大及以上环境违法违规行为，未发生突发环境事件。</w:t>
      </w:r>
    </w:p>
    <w:p>
      <w:pPr>
        <w:rPr>
          <w:szCs w:val="32"/>
        </w:rPr>
      </w:pPr>
      <w:r>
        <w:rPr>
          <w:rFonts w:hint="eastAsia"/>
          <w:szCs w:val="32"/>
        </w:rPr>
        <w:t>企业存在上述任一否决项的，不得申报。</w:t>
      </w:r>
    </w:p>
    <w:p>
      <w:pPr>
        <w:rPr>
          <w:rFonts w:eastAsia="方正楷体_GBK" w:cs="方正楷体_GBK"/>
          <w:b/>
        </w:rPr>
      </w:pPr>
      <w:r>
        <w:rPr>
          <w:rFonts w:hint="eastAsia" w:eastAsia="方正楷体_GBK" w:cs="方正楷体_GBK"/>
          <w:b/>
        </w:rPr>
        <w:t>二、评分指标</w:t>
      </w:r>
    </w:p>
    <w:p>
      <w:r>
        <w:rPr>
          <w:rFonts w:hint="eastAsia"/>
        </w:rPr>
        <w:t>1.</w:t>
      </w:r>
      <w:r>
        <w:rPr>
          <w:rFonts w:hint="eastAsia" w:eastAsia="方正楷体_GBK" w:cs="方正楷体_GBK"/>
          <w:b/>
        </w:rPr>
        <w:t>工艺装备。</w:t>
      </w:r>
      <w:r>
        <w:rPr>
          <w:rFonts w:hint="eastAsia"/>
        </w:rPr>
        <w:t>生产工艺水平、通用装备运行效率、通用用能设备标准达到行业先进水平，其标准在行业清洁生产基准等级越优得分越高，满分18分。</w:t>
      </w:r>
    </w:p>
    <w:p>
      <w:r>
        <w:rPr>
          <w:rFonts w:hint="eastAsia"/>
        </w:rPr>
        <w:t>2.</w:t>
      </w:r>
      <w:r>
        <w:rPr>
          <w:rFonts w:hint="eastAsia" w:eastAsia="方正楷体_GBK" w:cs="方正楷体_GBK"/>
          <w:b/>
        </w:rPr>
        <w:t>节能降耗。</w:t>
      </w:r>
      <w:r>
        <w:rPr>
          <w:rFonts w:hint="eastAsia"/>
        </w:rPr>
        <w:t>产品综合能耗、产品电耗、产品水耗达到行业先进水平，其标准在行业清洁生产基准等级越优得分越高，满分18分。</w:t>
      </w:r>
    </w:p>
    <w:p>
      <w:r>
        <w:rPr>
          <w:rFonts w:hint="eastAsia"/>
        </w:rPr>
        <w:t>3.</w:t>
      </w:r>
      <w:r>
        <w:rPr>
          <w:rFonts w:hint="eastAsia" w:eastAsia="方正楷体_GBK" w:cs="方正楷体_GBK"/>
          <w:b/>
        </w:rPr>
        <w:t>循环利用。</w:t>
      </w:r>
      <w:r>
        <w:rPr>
          <w:rFonts w:hint="eastAsia"/>
        </w:rPr>
        <w:t>产品可回收利用率、有害物质使用、固体废物资源化综合利用、用水循环利用率达到行业先进水平，其标准在行业清洁生产基准等级越优得分越高，满分23分。</w:t>
      </w:r>
    </w:p>
    <w:p>
      <w:r>
        <w:rPr>
          <w:rFonts w:hint="eastAsia"/>
        </w:rPr>
        <w:t>4.</w:t>
      </w:r>
      <w:r>
        <w:rPr>
          <w:rFonts w:hint="eastAsia" w:eastAsia="方正楷体_GBK" w:cs="方正楷体_GBK"/>
          <w:b/>
        </w:rPr>
        <w:t>污染排放。</w:t>
      </w:r>
      <w:r>
        <w:rPr>
          <w:rFonts w:hint="eastAsia"/>
        </w:rPr>
        <w:t>污染治理设施、污染监测监控能力、碳排放、水污染物排放、大气污染物排放、固体废物危险废物产生和处理、噪声排放达到国家、行业、地方法规规范标准要求，处于行业先进水平，其标准在行业清洁生产基准等级越优得分越高，满分41分。</w:t>
      </w:r>
    </w:p>
    <w:p>
      <w:pPr>
        <w:rPr>
          <w:rFonts w:eastAsia="方正楷体_GBK" w:cs="方正楷体_GBK"/>
          <w:b/>
        </w:rPr>
      </w:pPr>
      <w:r>
        <w:rPr>
          <w:rFonts w:hint="eastAsia" w:eastAsia="方正楷体_GBK" w:cs="方正楷体_GBK"/>
          <w:b/>
        </w:rPr>
        <w:t>三、加分项目</w:t>
      </w:r>
    </w:p>
    <w:p>
      <w:pPr>
        <w:rPr>
          <w:szCs w:val="32"/>
        </w:rPr>
      </w:pPr>
      <w:r>
        <w:rPr>
          <w:rFonts w:hint="eastAsia"/>
          <w:szCs w:val="32"/>
        </w:rPr>
        <w:t>申报企业及其产品三年内获得省级以上工业产品绿色设计示范企业、绿色工厂、绿色供应链管理企业、重点用水企业水效领跑者、废旧材料综合利用行业规范企业、用能产品能效领跑者、绿色设计产品、高耗能行业能效领跑者等荣誉的，以及企业通过清洁生产审核的，每有1项，加5分，可累计加分，同类荣誉计算1次。</w:t>
      </w:r>
    </w:p>
    <w:p>
      <w:pPr>
        <w:rPr>
          <w:szCs w:val="32"/>
        </w:rPr>
      </w:pPr>
      <w:r>
        <w:rPr>
          <w:rFonts w:hint="eastAsia" w:eastAsia="方正黑体_GBK" w:cs="方正黑体_GBK"/>
        </w:rPr>
        <w:t>说明：</w:t>
      </w:r>
      <w:r>
        <w:rPr>
          <w:rFonts w:hint="eastAsia"/>
          <w:szCs w:val="32"/>
        </w:rPr>
        <w:t>以上注文号或日期的引用标准、规范、文件，仅注文号或日期的版本适用于本文件；未注文号或日期的引用标准、规范、文件，其最新版本（包括所有的修改单）适用本文件。</w:t>
      </w:r>
    </w:p>
    <w:p>
      <w:pPr>
        <w:rPr>
          <w:szCs w:val="32"/>
        </w:rPr>
      </w:pPr>
      <w:r>
        <w:rPr>
          <w:rFonts w:hint="eastAsia"/>
        </w:rPr>
        <w:t>评分指标具体细则见附件。</w:t>
      </w:r>
    </w:p>
    <w:p>
      <w:pPr>
        <w:pStyle w:val="7"/>
      </w:pPr>
      <w:r>
        <w:rPr>
          <w:rFonts w:hint="eastAsia"/>
        </w:rPr>
        <w:t>绿色发展领军企业评分指标</w:t>
      </w: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7"/>
        <w:gridCol w:w="1123"/>
        <w:gridCol w:w="2693"/>
        <w:gridCol w:w="6"/>
        <w:gridCol w:w="502"/>
        <w:gridCol w:w="1815"/>
        <w:gridCol w:w="87"/>
        <w:gridCol w:w="12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一级指标</w:t>
            </w:r>
          </w:p>
        </w:tc>
        <w:tc>
          <w:tcPr>
            <w:tcW w:w="437"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序号</w:t>
            </w:r>
          </w:p>
        </w:tc>
        <w:tc>
          <w:tcPr>
            <w:tcW w:w="4324" w:type="dxa"/>
            <w:gridSpan w:val="4"/>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二级指标</w:t>
            </w:r>
          </w:p>
        </w:tc>
        <w:tc>
          <w:tcPr>
            <w:tcW w:w="3886" w:type="dxa"/>
            <w:gridSpan w:val="4"/>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hint="eastAsia" w:ascii="宋体" w:hAnsi="宋体" w:eastAsia="宋体"/>
                <w:b/>
                <w:bCs/>
                <w:sz w:val="21"/>
                <w:szCs w:val="21"/>
              </w:rPr>
              <w:t>是否具备申报条件（在□内打√）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restart"/>
            <w:shd w:val="clear" w:color="auto" w:fill="auto"/>
            <w:noWrap w:val="0"/>
            <w:vAlign w:val="center"/>
          </w:tcPr>
          <w:p>
            <w:pPr>
              <w:spacing w:line="240" w:lineRule="auto"/>
              <w:ind w:firstLine="0"/>
              <w:jc w:val="center"/>
              <w:rPr>
                <w:rFonts w:ascii="宋体" w:hAnsi="宋体" w:eastAsia="宋体" w:cs="MingLiU"/>
                <w:b/>
                <w:bCs/>
                <w:color w:val="000000"/>
                <w:sz w:val="21"/>
                <w:szCs w:val="21"/>
              </w:rPr>
            </w:pPr>
            <w:r>
              <w:rPr>
                <w:rStyle w:val="8"/>
                <w:rFonts w:hint="eastAsia" w:ascii="宋体" w:hAnsi="宋体" w:eastAsia="宋体"/>
                <w:b/>
                <w:bCs/>
                <w:sz w:val="21"/>
                <w:szCs w:val="21"/>
              </w:rPr>
              <w:t>基本要求</w:t>
            </w:r>
          </w:p>
        </w:tc>
        <w:tc>
          <w:tcPr>
            <w:tcW w:w="437" w:type="dxa"/>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1</w:t>
            </w:r>
          </w:p>
        </w:tc>
        <w:tc>
          <w:tcPr>
            <w:tcW w:w="4324" w:type="dxa"/>
            <w:gridSpan w:val="4"/>
            <w:shd w:val="clear" w:color="auto" w:fill="auto"/>
            <w:noWrap w:val="0"/>
            <w:vAlign w:val="center"/>
          </w:tcPr>
          <w:p>
            <w:pPr>
              <w:spacing w:line="240" w:lineRule="auto"/>
              <w:ind w:firstLine="0"/>
              <w:rPr>
                <w:rFonts w:ascii="宋体" w:hAnsi="宋体" w:eastAsia="宋体" w:cs="MingLiU"/>
                <w:b/>
                <w:bCs/>
                <w:color w:val="000000"/>
                <w:sz w:val="21"/>
                <w:szCs w:val="21"/>
              </w:rPr>
            </w:pPr>
            <w:r>
              <w:rPr>
                <w:rStyle w:val="8"/>
                <w:rFonts w:hint="eastAsia" w:ascii="宋体" w:hAnsi="宋体" w:eastAsia="宋体"/>
                <w:snapToGrid/>
                <w:kern w:val="2"/>
                <w:sz w:val="21"/>
                <w:szCs w:val="21"/>
              </w:rPr>
              <w:t>按照《环境管理体系要求及使用指南》（GB/T24001—2016/ISO14001:2015），建立实施企业环境管理体系。</w:t>
            </w:r>
          </w:p>
        </w:tc>
        <w:tc>
          <w:tcPr>
            <w:tcW w:w="1902"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2</w:t>
            </w:r>
          </w:p>
        </w:tc>
        <w:tc>
          <w:tcPr>
            <w:tcW w:w="4324" w:type="dxa"/>
            <w:gridSpan w:val="4"/>
            <w:shd w:val="clear" w:color="auto" w:fill="auto"/>
            <w:noWrap w:val="0"/>
            <w:vAlign w:val="center"/>
          </w:tcPr>
          <w:p>
            <w:pPr>
              <w:spacing w:line="240" w:lineRule="auto"/>
              <w:ind w:firstLine="0"/>
              <w:rPr>
                <w:rFonts w:ascii="宋体" w:hAnsi="宋体" w:eastAsia="宋体"/>
                <w:sz w:val="21"/>
                <w:szCs w:val="21"/>
              </w:rPr>
            </w:pPr>
            <w:r>
              <w:rPr>
                <w:rStyle w:val="8"/>
                <w:rFonts w:hint="eastAsia" w:ascii="宋体" w:hAnsi="宋体" w:eastAsia="宋体"/>
                <w:snapToGrid/>
                <w:kern w:val="2"/>
                <w:sz w:val="21"/>
                <w:szCs w:val="21"/>
              </w:rPr>
              <w:t>符合国家和省产业政策要求。</w:t>
            </w:r>
          </w:p>
        </w:tc>
        <w:tc>
          <w:tcPr>
            <w:tcW w:w="1902"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3</w:t>
            </w:r>
          </w:p>
        </w:tc>
        <w:tc>
          <w:tcPr>
            <w:tcW w:w="4324" w:type="dxa"/>
            <w:gridSpan w:val="4"/>
            <w:shd w:val="clear" w:color="auto" w:fill="auto"/>
            <w:noWrap w:val="0"/>
            <w:vAlign w:val="center"/>
          </w:tcPr>
          <w:p>
            <w:pPr>
              <w:spacing w:line="240" w:lineRule="auto"/>
              <w:ind w:firstLine="0"/>
              <w:rPr>
                <w:rFonts w:ascii="宋体" w:hAnsi="宋体" w:eastAsia="宋体"/>
                <w:sz w:val="21"/>
                <w:szCs w:val="21"/>
              </w:rPr>
            </w:pPr>
            <w:r>
              <w:rPr>
                <w:rStyle w:val="8"/>
                <w:rFonts w:hint="eastAsia" w:ascii="宋体" w:hAnsi="宋体" w:eastAsia="宋体"/>
                <w:snapToGrid/>
                <w:kern w:val="2"/>
                <w:sz w:val="21"/>
                <w:szCs w:val="21"/>
              </w:rPr>
              <w:t>在线监测监控系统与生态环境部门联网。</w:t>
            </w:r>
          </w:p>
        </w:tc>
        <w:tc>
          <w:tcPr>
            <w:tcW w:w="1902"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4</w:t>
            </w:r>
          </w:p>
        </w:tc>
        <w:tc>
          <w:tcPr>
            <w:tcW w:w="4324" w:type="dxa"/>
            <w:gridSpan w:val="4"/>
            <w:shd w:val="clear" w:color="auto" w:fill="auto"/>
            <w:noWrap w:val="0"/>
            <w:vAlign w:val="center"/>
          </w:tcPr>
          <w:p>
            <w:pPr>
              <w:spacing w:line="240" w:lineRule="auto"/>
              <w:ind w:firstLine="0"/>
              <w:rPr>
                <w:rFonts w:ascii="宋体" w:hAnsi="宋体" w:eastAsia="宋体"/>
                <w:sz w:val="21"/>
                <w:szCs w:val="21"/>
              </w:rPr>
            </w:pPr>
            <w:r>
              <w:rPr>
                <w:rStyle w:val="8"/>
                <w:rFonts w:hint="eastAsia" w:ascii="宋体" w:hAnsi="宋体" w:eastAsia="宋体"/>
                <w:snapToGrid/>
                <w:kern w:val="2"/>
                <w:sz w:val="21"/>
                <w:szCs w:val="21"/>
              </w:rPr>
              <w:t>近三年内无重大及以上环境违法违规行为，未发生突发环境事件。</w:t>
            </w:r>
          </w:p>
        </w:tc>
        <w:tc>
          <w:tcPr>
            <w:tcW w:w="1902"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一级指标</w:t>
            </w:r>
          </w:p>
        </w:tc>
        <w:tc>
          <w:tcPr>
            <w:tcW w:w="437"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序号</w:t>
            </w:r>
          </w:p>
        </w:tc>
        <w:tc>
          <w:tcPr>
            <w:tcW w:w="1123"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二级指标</w:t>
            </w:r>
          </w:p>
        </w:tc>
        <w:tc>
          <w:tcPr>
            <w:tcW w:w="6378" w:type="dxa"/>
            <w:gridSpan w:val="6"/>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评分标准</w:t>
            </w:r>
          </w:p>
        </w:tc>
        <w:tc>
          <w:tcPr>
            <w:tcW w:w="709"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工艺装备</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生产工艺水平</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企业没有采用国家限制、淘汰和禁止类生产工艺，达到行业清洁生产指标体系I级基准值，得6分；达到II级基准值，得4分；达到III级基准值，得2分。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2</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通用装备运行效率</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企业采用的通用装备及其系统的实际运行效率、主要运行参数应符合该设备经济运行的标准要求，达到行业清洁生产指标体系I级基准值，得6分；达到II级基准值，得4分；达到III级基准值，得2分。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3</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通用用能设备标准</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企业通用用能设备使用节能型或效率高、能耗低、水耗低、物耗低的产品，达到行业清洁生产指标体系I级基准值，得6分；达到II级基准值，得4分；达到III级基准值，得2分。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节能降耗</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4</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w:t>
            </w:r>
            <w:r>
              <w:rPr>
                <w:rStyle w:val="8"/>
                <w:rFonts w:ascii="宋体" w:hAnsi="宋体" w:eastAsia="宋体"/>
                <w:snapToGrid/>
                <w:kern w:val="2"/>
                <w:sz w:val="21"/>
                <w:szCs w:val="21"/>
              </w:rPr>
              <w:t>综合能耗</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产品全生命周期能耗较低，达到能耗限额国家标准，为同类型可比产品中能效领先的产品，达到行业清洁生产指标体系I级基准值，</w:t>
            </w:r>
            <w:r>
              <w:rPr>
                <w:rStyle w:val="8"/>
                <w:rFonts w:ascii="宋体" w:hAnsi="宋体" w:eastAsia="宋体"/>
                <w:snapToGrid/>
                <w:kern w:val="2"/>
                <w:sz w:val="21"/>
                <w:szCs w:val="21"/>
              </w:rPr>
              <w:t>得</w:t>
            </w:r>
            <w:r>
              <w:rPr>
                <w:rStyle w:val="8"/>
                <w:rFonts w:hint="eastAsia" w:ascii="宋体" w:hAnsi="宋体" w:eastAsia="宋体"/>
                <w:snapToGrid/>
                <w:kern w:val="2"/>
                <w:sz w:val="21"/>
                <w:szCs w:val="21"/>
              </w:rPr>
              <w:t>6</w:t>
            </w:r>
            <w:r>
              <w:rPr>
                <w:rStyle w:val="8"/>
                <w:rFonts w:ascii="宋体" w:hAnsi="宋体" w:eastAsia="宋体"/>
                <w:snapToGrid/>
                <w:kern w:val="2"/>
                <w:sz w:val="21"/>
                <w:szCs w:val="21"/>
              </w:rPr>
              <w:t>分；</w:t>
            </w:r>
            <w:r>
              <w:rPr>
                <w:rStyle w:val="8"/>
                <w:rFonts w:hint="eastAsia" w:ascii="宋体" w:hAnsi="宋体" w:eastAsia="宋体"/>
                <w:snapToGrid/>
                <w:kern w:val="2"/>
                <w:sz w:val="21"/>
                <w:szCs w:val="21"/>
              </w:rPr>
              <w:t>达到II级基准值，</w:t>
            </w:r>
            <w:r>
              <w:rPr>
                <w:rStyle w:val="8"/>
                <w:rFonts w:ascii="宋体" w:hAnsi="宋体" w:eastAsia="宋体"/>
                <w:snapToGrid/>
                <w:kern w:val="2"/>
                <w:sz w:val="21"/>
                <w:szCs w:val="21"/>
              </w:rPr>
              <w:t>得</w:t>
            </w:r>
            <w:r>
              <w:rPr>
                <w:rStyle w:val="8"/>
                <w:rFonts w:hint="eastAsia" w:ascii="宋体" w:hAnsi="宋体" w:eastAsia="宋体"/>
                <w:snapToGrid/>
                <w:kern w:val="2"/>
                <w:sz w:val="21"/>
                <w:szCs w:val="21"/>
              </w:rPr>
              <w:t>4</w:t>
            </w:r>
            <w:r>
              <w:rPr>
                <w:rStyle w:val="8"/>
                <w:rFonts w:ascii="宋体" w:hAnsi="宋体" w:eastAsia="宋体"/>
                <w:snapToGrid/>
                <w:kern w:val="2"/>
                <w:sz w:val="21"/>
                <w:szCs w:val="21"/>
              </w:rPr>
              <w:t>分；</w:t>
            </w:r>
            <w:r>
              <w:rPr>
                <w:rStyle w:val="8"/>
                <w:rFonts w:hint="eastAsia" w:ascii="宋体" w:hAnsi="宋体" w:eastAsia="宋体"/>
                <w:snapToGrid/>
                <w:kern w:val="2"/>
                <w:sz w:val="21"/>
                <w:szCs w:val="21"/>
              </w:rPr>
              <w:t>达到III级基准值，</w:t>
            </w:r>
            <w:r>
              <w:rPr>
                <w:rStyle w:val="8"/>
                <w:rFonts w:ascii="宋体" w:hAnsi="宋体" w:eastAsia="宋体"/>
                <w:snapToGrid/>
                <w:kern w:val="2"/>
                <w:sz w:val="21"/>
                <w:szCs w:val="21"/>
              </w:rPr>
              <w:t>得</w:t>
            </w:r>
            <w:r>
              <w:rPr>
                <w:rStyle w:val="8"/>
                <w:rFonts w:hint="eastAsia" w:ascii="宋体" w:hAnsi="宋体" w:eastAsia="宋体"/>
                <w:snapToGrid/>
                <w:kern w:val="2"/>
                <w:sz w:val="21"/>
                <w:szCs w:val="21"/>
              </w:rPr>
              <w:t>2</w:t>
            </w:r>
            <w:r>
              <w:rPr>
                <w:rStyle w:val="8"/>
                <w:rFonts w:ascii="宋体" w:hAnsi="宋体" w:eastAsia="宋体"/>
                <w:snapToGrid/>
                <w:kern w:val="2"/>
                <w:sz w:val="21"/>
                <w:szCs w:val="21"/>
              </w:rPr>
              <w:t>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5</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w:t>
            </w:r>
            <w:r>
              <w:rPr>
                <w:rStyle w:val="8"/>
                <w:rFonts w:ascii="宋体" w:hAnsi="宋体" w:eastAsia="宋体"/>
                <w:snapToGrid/>
                <w:kern w:val="2"/>
                <w:sz w:val="21"/>
                <w:szCs w:val="21"/>
              </w:rPr>
              <w:t>电耗</w:t>
            </w:r>
          </w:p>
        </w:tc>
        <w:tc>
          <w:tcPr>
            <w:tcW w:w="6378" w:type="dxa"/>
            <w:gridSpan w:val="6"/>
            <w:shd w:val="clear" w:color="auto" w:fill="auto"/>
            <w:noWrap w:val="0"/>
            <w:vAlign w:val="center"/>
          </w:tcPr>
          <w:p>
            <w:pPr>
              <w:spacing w:line="240" w:lineRule="auto"/>
              <w:ind w:firstLine="0"/>
              <w:rPr>
                <w:rStyle w:val="8"/>
                <w:rFonts w:ascii="宋体" w:hAnsi="宋体" w:eastAsia="宋体"/>
                <w:sz w:val="21"/>
                <w:szCs w:val="21"/>
              </w:rPr>
            </w:pPr>
            <w:r>
              <w:rPr>
                <w:rStyle w:val="8"/>
                <w:rFonts w:hint="eastAsia" w:ascii="宋体" w:hAnsi="宋体" w:eastAsia="宋体"/>
                <w:sz w:val="21"/>
                <w:szCs w:val="21"/>
              </w:rPr>
              <w:t>产品单位电耗达到国家标准，且在同行业中处于先进水平，达到行业清洁生产指标体系I级基准值，</w:t>
            </w:r>
            <w:r>
              <w:rPr>
                <w:rStyle w:val="8"/>
                <w:rFonts w:ascii="宋体" w:hAnsi="宋体" w:eastAsia="宋体"/>
                <w:sz w:val="21"/>
                <w:szCs w:val="21"/>
              </w:rPr>
              <w:t>得</w:t>
            </w:r>
            <w:r>
              <w:rPr>
                <w:rStyle w:val="8"/>
                <w:rFonts w:hint="eastAsia" w:ascii="宋体" w:hAnsi="宋体" w:eastAsia="宋体"/>
                <w:sz w:val="21"/>
                <w:szCs w:val="21"/>
              </w:rPr>
              <w:t>6</w:t>
            </w:r>
            <w:r>
              <w:rPr>
                <w:rStyle w:val="8"/>
                <w:rFonts w:ascii="宋体" w:hAnsi="宋体" w:eastAsia="宋体"/>
                <w:sz w:val="21"/>
                <w:szCs w:val="21"/>
              </w:rPr>
              <w:t>分；</w:t>
            </w:r>
            <w:r>
              <w:rPr>
                <w:rStyle w:val="8"/>
                <w:rFonts w:hint="eastAsia" w:ascii="宋体" w:hAnsi="宋体" w:eastAsia="宋体"/>
                <w:sz w:val="21"/>
                <w:szCs w:val="21"/>
              </w:rPr>
              <w:t>达到II级基准值，</w:t>
            </w:r>
            <w:r>
              <w:rPr>
                <w:rStyle w:val="8"/>
                <w:rFonts w:ascii="宋体" w:hAnsi="宋体" w:eastAsia="宋体"/>
                <w:sz w:val="21"/>
                <w:szCs w:val="21"/>
              </w:rPr>
              <w:t>得</w:t>
            </w:r>
            <w:r>
              <w:rPr>
                <w:rStyle w:val="8"/>
                <w:rFonts w:hint="eastAsia" w:ascii="宋体" w:hAnsi="宋体" w:eastAsia="宋体"/>
                <w:sz w:val="21"/>
                <w:szCs w:val="21"/>
              </w:rPr>
              <w:t>4</w:t>
            </w:r>
            <w:r>
              <w:rPr>
                <w:rStyle w:val="8"/>
                <w:rFonts w:ascii="宋体" w:hAnsi="宋体" w:eastAsia="宋体"/>
                <w:sz w:val="21"/>
                <w:szCs w:val="21"/>
              </w:rPr>
              <w:t>分；</w:t>
            </w:r>
            <w:r>
              <w:rPr>
                <w:rStyle w:val="8"/>
                <w:rFonts w:hint="eastAsia" w:ascii="宋体" w:hAnsi="宋体" w:eastAsia="宋体"/>
                <w:sz w:val="21"/>
                <w:szCs w:val="21"/>
              </w:rPr>
              <w:t>达到III级基准值，</w:t>
            </w:r>
            <w:r>
              <w:rPr>
                <w:rStyle w:val="8"/>
                <w:rFonts w:ascii="宋体" w:hAnsi="宋体" w:eastAsia="宋体"/>
                <w:sz w:val="21"/>
                <w:szCs w:val="21"/>
              </w:rPr>
              <w:t>得</w:t>
            </w:r>
            <w:r>
              <w:rPr>
                <w:rStyle w:val="8"/>
                <w:rFonts w:hint="eastAsia" w:ascii="宋体" w:hAnsi="宋体" w:eastAsia="宋体"/>
                <w:sz w:val="21"/>
                <w:szCs w:val="21"/>
              </w:rPr>
              <w:t>2</w:t>
            </w:r>
            <w:r>
              <w:rPr>
                <w:rStyle w:val="8"/>
                <w:rFonts w:ascii="宋体" w:hAnsi="宋体" w:eastAsia="宋体"/>
                <w:sz w:val="21"/>
                <w:szCs w:val="21"/>
              </w:rPr>
              <w:t>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6</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产品水耗</w:t>
            </w:r>
          </w:p>
        </w:tc>
        <w:tc>
          <w:tcPr>
            <w:tcW w:w="6378" w:type="dxa"/>
            <w:gridSpan w:val="6"/>
            <w:shd w:val="clear" w:color="auto" w:fill="auto"/>
            <w:noWrap w:val="0"/>
            <w:vAlign w:val="center"/>
          </w:tcPr>
          <w:p>
            <w:pPr>
              <w:spacing w:line="240" w:lineRule="auto"/>
              <w:ind w:firstLine="0"/>
              <w:rPr>
                <w:rStyle w:val="8"/>
                <w:rFonts w:ascii="宋体" w:hAnsi="宋体" w:eastAsia="宋体"/>
                <w:sz w:val="21"/>
                <w:szCs w:val="21"/>
              </w:rPr>
            </w:pPr>
            <w:r>
              <w:rPr>
                <w:rStyle w:val="8"/>
                <w:rFonts w:hint="eastAsia" w:ascii="宋体" w:hAnsi="宋体" w:eastAsia="宋体"/>
                <w:sz w:val="21"/>
                <w:szCs w:val="21"/>
              </w:rPr>
              <w:t>采用节水器具和设备，生产用水满足国家对本行业用水定额要求，达到行业清洁生产指标体系I级基准值，</w:t>
            </w:r>
            <w:r>
              <w:rPr>
                <w:rStyle w:val="8"/>
                <w:rFonts w:ascii="宋体" w:hAnsi="宋体" w:eastAsia="宋体"/>
                <w:sz w:val="21"/>
                <w:szCs w:val="21"/>
              </w:rPr>
              <w:t>得</w:t>
            </w:r>
            <w:r>
              <w:rPr>
                <w:rStyle w:val="8"/>
                <w:rFonts w:hint="eastAsia" w:ascii="宋体" w:hAnsi="宋体" w:eastAsia="宋体"/>
                <w:sz w:val="21"/>
                <w:szCs w:val="21"/>
              </w:rPr>
              <w:t>6</w:t>
            </w:r>
            <w:r>
              <w:rPr>
                <w:rStyle w:val="8"/>
                <w:rFonts w:ascii="宋体" w:hAnsi="宋体" w:eastAsia="宋体"/>
                <w:sz w:val="21"/>
                <w:szCs w:val="21"/>
              </w:rPr>
              <w:t>分；</w:t>
            </w:r>
            <w:r>
              <w:rPr>
                <w:rStyle w:val="8"/>
                <w:rFonts w:hint="eastAsia" w:ascii="宋体" w:hAnsi="宋体" w:eastAsia="宋体"/>
                <w:sz w:val="21"/>
                <w:szCs w:val="21"/>
              </w:rPr>
              <w:t>达到II级基准值，</w:t>
            </w:r>
            <w:r>
              <w:rPr>
                <w:rStyle w:val="8"/>
                <w:rFonts w:ascii="宋体" w:hAnsi="宋体" w:eastAsia="宋体"/>
                <w:sz w:val="21"/>
                <w:szCs w:val="21"/>
              </w:rPr>
              <w:t>得</w:t>
            </w:r>
            <w:r>
              <w:rPr>
                <w:rStyle w:val="8"/>
                <w:rFonts w:hint="eastAsia" w:ascii="宋体" w:hAnsi="宋体" w:eastAsia="宋体"/>
                <w:sz w:val="21"/>
                <w:szCs w:val="21"/>
              </w:rPr>
              <w:t>4</w:t>
            </w:r>
            <w:r>
              <w:rPr>
                <w:rStyle w:val="8"/>
                <w:rFonts w:ascii="宋体" w:hAnsi="宋体" w:eastAsia="宋体"/>
                <w:sz w:val="21"/>
                <w:szCs w:val="21"/>
              </w:rPr>
              <w:t>分；</w:t>
            </w:r>
            <w:r>
              <w:rPr>
                <w:rStyle w:val="8"/>
                <w:rFonts w:hint="eastAsia" w:ascii="宋体" w:hAnsi="宋体" w:eastAsia="宋体"/>
                <w:sz w:val="21"/>
                <w:szCs w:val="21"/>
              </w:rPr>
              <w:t>达到III级基准值，</w:t>
            </w:r>
            <w:r>
              <w:rPr>
                <w:rStyle w:val="8"/>
                <w:rFonts w:ascii="宋体" w:hAnsi="宋体" w:eastAsia="宋体"/>
                <w:sz w:val="21"/>
                <w:szCs w:val="21"/>
              </w:rPr>
              <w:t>得</w:t>
            </w:r>
            <w:r>
              <w:rPr>
                <w:rStyle w:val="8"/>
                <w:rFonts w:hint="eastAsia" w:ascii="宋体" w:hAnsi="宋体" w:eastAsia="宋体"/>
                <w:sz w:val="21"/>
                <w:szCs w:val="21"/>
              </w:rPr>
              <w:t>2</w:t>
            </w:r>
            <w:r>
              <w:rPr>
                <w:rStyle w:val="8"/>
                <w:rFonts w:ascii="宋体" w:hAnsi="宋体" w:eastAsia="宋体"/>
                <w:sz w:val="21"/>
                <w:szCs w:val="21"/>
              </w:rPr>
              <w:t>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循环利用</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7</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Fonts w:hint="eastAsia" w:ascii="宋体" w:hAnsi="宋体" w:eastAsia="宋体"/>
                <w:color w:val="000000"/>
                <w:sz w:val="21"/>
                <w:szCs w:val="21"/>
              </w:rPr>
              <w:t>产品可回收利用率</w:t>
            </w:r>
          </w:p>
        </w:tc>
        <w:tc>
          <w:tcPr>
            <w:tcW w:w="6378" w:type="dxa"/>
            <w:gridSpan w:val="6"/>
            <w:shd w:val="clear" w:color="auto" w:fill="auto"/>
            <w:noWrap w:val="0"/>
            <w:vAlign w:val="center"/>
          </w:tcPr>
          <w:p>
            <w:pPr>
              <w:spacing w:line="240" w:lineRule="auto"/>
              <w:ind w:firstLine="0"/>
              <w:rPr>
                <w:rStyle w:val="8"/>
                <w:rFonts w:ascii="宋体" w:hAnsi="宋体" w:eastAsia="宋体"/>
                <w:snapToGrid/>
                <w:spacing w:val="-6"/>
                <w:kern w:val="2"/>
                <w:sz w:val="21"/>
                <w:szCs w:val="21"/>
              </w:rPr>
            </w:pPr>
            <w:r>
              <w:rPr>
                <w:rStyle w:val="8"/>
                <w:rFonts w:hint="eastAsia" w:ascii="宋体" w:hAnsi="宋体" w:eastAsia="宋体"/>
                <w:snapToGrid/>
                <w:spacing w:val="-6"/>
                <w:kern w:val="2"/>
                <w:sz w:val="21"/>
                <w:szCs w:val="21"/>
              </w:rPr>
              <w:t>企业使用回收材料、可回收原料，且满足国家对本行业标准要求，产品可回收利用率达到80%以上，得6分；产品可回收利用率达到50%以上，得4分；产品可回收利用率达到30%以上，得2分；产品不可回收利用，得0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8</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有害物质使用</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产品（包括原料和辅料）未使用国家、行业明令禁止和淘汰的原材料，得5分，若使用得0分。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9</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固体废物资源化综合利用</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固体废物资源化综合利用达到行业清洁生产指标体系I级基准值，得6分；达到II级基准值，得4分；达到III级基准值，得2分。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10</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用水循环利用率</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工业用水重复利用率达到行业清洁生产指标体系I级基准值，得6分；达到II级基准值，得4分；达到III级基准值，得2分。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污染排放</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11</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污染治理设施</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投入适宜的污染物处理设施，处理能力应与生产排放相适应。污染治理设施通过监管部门验收，得5分，未通过验收的不得分。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12</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污染监测监控能力</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排污许可证中的自行监测方案符合国家规范要求，建立全污染物监测监控能力。自行监测方案符合国家规范要求并严格落实的得5分；建立形成全污染物监测监控能力的得5分；反之不得分。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13</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碳排放</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单位产品碳排放指标位于行业前20%水平，得3分（装备、电子、电器等离散制造业可采用单位产值或单位工业增加值指标）；位于前5%的，得6分；其他得0分。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14</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水污染物排放</w:t>
            </w:r>
          </w:p>
        </w:tc>
        <w:tc>
          <w:tcPr>
            <w:tcW w:w="6378" w:type="dxa"/>
            <w:gridSpan w:val="6"/>
            <w:shd w:val="clear" w:color="auto" w:fill="auto"/>
            <w:noWrap w:val="0"/>
            <w:vAlign w:val="center"/>
          </w:tcPr>
          <w:p>
            <w:pPr>
              <w:spacing w:line="240" w:lineRule="auto"/>
              <w:ind w:firstLine="0"/>
              <w:rPr>
                <w:rStyle w:val="8"/>
                <w:rFonts w:ascii="宋体" w:hAnsi="宋体" w:eastAsia="宋体"/>
                <w:sz w:val="21"/>
                <w:szCs w:val="21"/>
              </w:rPr>
            </w:pPr>
            <w:r>
              <w:rPr>
                <w:rStyle w:val="8"/>
                <w:rFonts w:hint="eastAsia" w:ascii="宋体" w:hAnsi="宋体" w:eastAsia="宋体"/>
                <w:snapToGrid/>
                <w:kern w:val="2"/>
                <w:sz w:val="21"/>
                <w:szCs w:val="21"/>
              </w:rPr>
              <w:t>水污染物排放应低于国家、行业及地方标准，</w:t>
            </w:r>
            <w:r>
              <w:rPr>
                <w:rStyle w:val="8"/>
                <w:rFonts w:hint="eastAsia" w:ascii="宋体" w:hAnsi="宋体" w:eastAsia="宋体"/>
                <w:sz w:val="21"/>
                <w:szCs w:val="21"/>
              </w:rPr>
              <w:t>满足区域排放总量控制要求，特殊区域内的企业还应满足区域水污染物特别排放限值要求，或在满足要求的前提下委托具备相应处理能力和资质的处理企业处理。排放值</w:t>
            </w:r>
            <w:r>
              <w:rPr>
                <w:rFonts w:hint="eastAsia" w:ascii="宋体" w:hAnsi="宋体" w:eastAsia="宋体"/>
                <w:color w:val="000000"/>
                <w:sz w:val="21"/>
                <w:szCs w:val="21"/>
              </w:rPr>
              <w:t>达到行业清洁生产指标体系I级基准值，</w:t>
            </w:r>
            <w:r>
              <w:rPr>
                <w:rFonts w:ascii="宋体" w:hAnsi="宋体" w:eastAsia="宋体"/>
                <w:color w:val="000000"/>
                <w:sz w:val="21"/>
                <w:szCs w:val="21"/>
              </w:rPr>
              <w:t>得</w:t>
            </w:r>
            <w:r>
              <w:rPr>
                <w:rFonts w:hint="eastAsia" w:ascii="宋体" w:hAnsi="宋体" w:eastAsia="宋体"/>
                <w:color w:val="000000"/>
                <w:sz w:val="21"/>
                <w:szCs w:val="21"/>
              </w:rPr>
              <w:t>6</w:t>
            </w:r>
            <w:r>
              <w:rPr>
                <w:rFonts w:ascii="宋体" w:hAnsi="宋体" w:eastAsia="宋体"/>
                <w:color w:val="000000"/>
                <w:sz w:val="21"/>
                <w:szCs w:val="21"/>
              </w:rPr>
              <w:t>分；</w:t>
            </w:r>
            <w:r>
              <w:rPr>
                <w:rFonts w:hint="eastAsia" w:ascii="宋体" w:hAnsi="宋体" w:eastAsia="宋体"/>
                <w:color w:val="000000"/>
                <w:sz w:val="21"/>
                <w:szCs w:val="21"/>
              </w:rPr>
              <w:t>达到II级基准值，</w:t>
            </w:r>
            <w:r>
              <w:rPr>
                <w:rFonts w:ascii="宋体" w:hAnsi="宋体" w:eastAsia="宋体"/>
                <w:color w:val="000000"/>
                <w:sz w:val="21"/>
                <w:szCs w:val="21"/>
              </w:rPr>
              <w:t>得</w:t>
            </w:r>
            <w:r>
              <w:rPr>
                <w:rFonts w:hint="eastAsia" w:ascii="宋体" w:hAnsi="宋体" w:eastAsia="宋体"/>
                <w:color w:val="000000"/>
                <w:sz w:val="21"/>
                <w:szCs w:val="21"/>
              </w:rPr>
              <w:t>4</w:t>
            </w:r>
            <w:r>
              <w:rPr>
                <w:rFonts w:ascii="宋体" w:hAnsi="宋体" w:eastAsia="宋体"/>
                <w:color w:val="000000"/>
                <w:sz w:val="21"/>
                <w:szCs w:val="21"/>
              </w:rPr>
              <w:t>分；</w:t>
            </w:r>
            <w:r>
              <w:rPr>
                <w:rFonts w:hint="eastAsia" w:ascii="宋体" w:hAnsi="宋体" w:eastAsia="宋体"/>
                <w:color w:val="000000"/>
                <w:sz w:val="21"/>
                <w:szCs w:val="21"/>
              </w:rPr>
              <w:t>达到III级基准值，</w:t>
            </w:r>
            <w:r>
              <w:rPr>
                <w:rFonts w:ascii="宋体" w:hAnsi="宋体" w:eastAsia="宋体"/>
                <w:color w:val="000000"/>
                <w:sz w:val="21"/>
                <w:szCs w:val="21"/>
              </w:rPr>
              <w:t>得</w:t>
            </w:r>
            <w:r>
              <w:rPr>
                <w:rFonts w:hint="eastAsia" w:ascii="宋体" w:hAnsi="宋体" w:eastAsia="宋体"/>
                <w:color w:val="000000"/>
                <w:sz w:val="21"/>
                <w:szCs w:val="21"/>
              </w:rPr>
              <w:t>2</w:t>
            </w:r>
            <w:r>
              <w:rPr>
                <w:rFonts w:ascii="宋体" w:hAnsi="宋体" w:eastAsia="宋体"/>
                <w:color w:val="000000"/>
                <w:sz w:val="21"/>
                <w:szCs w:val="21"/>
              </w:rPr>
              <w:t>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15</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大气污染物排放</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大气污染物排放应低于国家、行业及地方标准，满足区域排放总量控制要求，重点行业企业还应满足超低排放标准要求。排放值</w:t>
            </w:r>
            <w:r>
              <w:rPr>
                <w:rFonts w:hint="eastAsia" w:ascii="宋体" w:hAnsi="宋体" w:eastAsia="宋体"/>
                <w:color w:val="000000"/>
                <w:sz w:val="21"/>
                <w:szCs w:val="21"/>
              </w:rPr>
              <w:t>达到行业清洁生产指标体系I级基准值，</w:t>
            </w:r>
            <w:r>
              <w:rPr>
                <w:rFonts w:ascii="宋体" w:hAnsi="宋体" w:eastAsia="宋体"/>
                <w:color w:val="000000"/>
                <w:sz w:val="21"/>
                <w:szCs w:val="21"/>
              </w:rPr>
              <w:t>得</w:t>
            </w:r>
            <w:r>
              <w:rPr>
                <w:rFonts w:hint="eastAsia" w:ascii="宋体" w:hAnsi="宋体" w:eastAsia="宋体"/>
                <w:color w:val="000000"/>
                <w:sz w:val="21"/>
                <w:szCs w:val="21"/>
              </w:rPr>
              <w:t>6</w:t>
            </w:r>
            <w:r>
              <w:rPr>
                <w:rFonts w:ascii="宋体" w:hAnsi="宋体" w:eastAsia="宋体"/>
                <w:color w:val="000000"/>
                <w:sz w:val="21"/>
                <w:szCs w:val="21"/>
              </w:rPr>
              <w:t>分；</w:t>
            </w:r>
            <w:r>
              <w:rPr>
                <w:rFonts w:hint="eastAsia" w:ascii="宋体" w:hAnsi="宋体" w:eastAsia="宋体"/>
                <w:color w:val="000000"/>
                <w:sz w:val="21"/>
                <w:szCs w:val="21"/>
              </w:rPr>
              <w:t>达到II级基准值，</w:t>
            </w:r>
            <w:r>
              <w:rPr>
                <w:rFonts w:ascii="宋体" w:hAnsi="宋体" w:eastAsia="宋体"/>
                <w:color w:val="000000"/>
                <w:sz w:val="21"/>
                <w:szCs w:val="21"/>
              </w:rPr>
              <w:t>得</w:t>
            </w:r>
            <w:r>
              <w:rPr>
                <w:rFonts w:hint="eastAsia" w:ascii="宋体" w:hAnsi="宋体" w:eastAsia="宋体"/>
                <w:color w:val="000000"/>
                <w:sz w:val="21"/>
                <w:szCs w:val="21"/>
              </w:rPr>
              <w:t>4</w:t>
            </w:r>
            <w:r>
              <w:rPr>
                <w:rFonts w:ascii="宋体" w:hAnsi="宋体" w:eastAsia="宋体"/>
                <w:color w:val="000000"/>
                <w:sz w:val="21"/>
                <w:szCs w:val="21"/>
              </w:rPr>
              <w:t>分；</w:t>
            </w:r>
            <w:r>
              <w:rPr>
                <w:rFonts w:hint="eastAsia" w:ascii="宋体" w:hAnsi="宋体" w:eastAsia="宋体"/>
                <w:color w:val="000000"/>
                <w:sz w:val="21"/>
                <w:szCs w:val="21"/>
              </w:rPr>
              <w:t>达到III级基准值，</w:t>
            </w:r>
            <w:r>
              <w:rPr>
                <w:rFonts w:ascii="宋体" w:hAnsi="宋体" w:eastAsia="宋体"/>
                <w:color w:val="000000"/>
                <w:sz w:val="21"/>
                <w:szCs w:val="21"/>
              </w:rPr>
              <w:t>得</w:t>
            </w:r>
            <w:r>
              <w:rPr>
                <w:rFonts w:hint="eastAsia" w:ascii="宋体" w:hAnsi="宋体" w:eastAsia="宋体"/>
                <w:color w:val="000000"/>
                <w:sz w:val="21"/>
                <w:szCs w:val="21"/>
              </w:rPr>
              <w:t>2</w:t>
            </w:r>
            <w:r>
              <w:rPr>
                <w:rFonts w:ascii="宋体" w:hAnsi="宋体" w:eastAsia="宋体"/>
                <w:color w:val="000000"/>
                <w:sz w:val="21"/>
                <w:szCs w:val="21"/>
              </w:rPr>
              <w:t>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16</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固体废物危险废物产生和处理</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固体废物、危险废物的处理应符合国家、行业、地方相关法律法规政策标准，无法自行处理的，应交由具备相应处理能力和资质的企业进行处理。固体废物产生和处理达到行业清洁生产指标体系I级基准值，得6分；达到II级基准值，得4分；达到III级基准值，得2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17</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噪声排放</w:t>
            </w:r>
          </w:p>
        </w:tc>
        <w:tc>
          <w:tcPr>
            <w:tcW w:w="6378" w:type="dxa"/>
            <w:gridSpan w:val="6"/>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厂界环境噪声排放应低于国家、行业及地方标准。监管部门监督性监测或企业自主委托第三方监测机构开展噪声监测，达标的，得2分，不达标的，得0分。</w:t>
            </w:r>
          </w:p>
        </w:tc>
        <w:tc>
          <w:tcPr>
            <w:tcW w:w="709"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一级指标</w:t>
            </w:r>
          </w:p>
        </w:tc>
        <w:tc>
          <w:tcPr>
            <w:tcW w:w="437"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序号</w:t>
            </w:r>
          </w:p>
        </w:tc>
        <w:tc>
          <w:tcPr>
            <w:tcW w:w="3822" w:type="dxa"/>
            <w:gridSpan w:val="3"/>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二级指标</w:t>
            </w:r>
          </w:p>
        </w:tc>
        <w:tc>
          <w:tcPr>
            <w:tcW w:w="4388" w:type="dxa"/>
            <w:gridSpan w:val="5"/>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hint="eastAsia" w:ascii="宋体" w:hAnsi="宋体" w:eastAsia="宋体"/>
                <w:b/>
                <w:bCs/>
                <w:sz w:val="21"/>
                <w:szCs w:val="21"/>
              </w:rPr>
              <w:t>是否具备，每有1项，加5分（在□内打√）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加分项目</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通过清洁生产审核</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2</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绿色设计示范企业</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3</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绿色工厂</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4</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绿色供应链管理企业</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5</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重点用水企业水效领跑者</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6</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废旧材料综合利用行业规范企业</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7</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用能产品能效领跑者</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8</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绿色设计产品</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ascii="宋体" w:hAnsi="宋体" w:eastAsia="宋体"/>
                <w:snapToGrid/>
                <w:kern w:val="2"/>
                <w:sz w:val="21"/>
                <w:szCs w:val="21"/>
              </w:rPr>
              <w:t>9</w:t>
            </w:r>
          </w:p>
        </w:tc>
        <w:tc>
          <w:tcPr>
            <w:tcW w:w="3822" w:type="dxa"/>
            <w:gridSpan w:val="3"/>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高耗能行业能效领跑者</w:t>
            </w:r>
          </w:p>
        </w:tc>
        <w:tc>
          <w:tcPr>
            <w:tcW w:w="2317"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8" w:type="dxa"/>
            <w:gridSpan w:val="4"/>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总得分</w:t>
            </w:r>
          </w:p>
        </w:tc>
        <w:tc>
          <w:tcPr>
            <w:tcW w:w="4394" w:type="dxa"/>
            <w:gridSpan w:val="6"/>
            <w:shd w:val="clear" w:color="auto" w:fill="auto"/>
            <w:noWrap w:val="0"/>
            <w:vAlign w:val="center"/>
          </w:tcPr>
          <w:p>
            <w:pPr>
              <w:spacing w:line="240" w:lineRule="auto"/>
              <w:ind w:firstLine="0"/>
              <w:jc w:val="center"/>
              <w:rPr>
                <w:rFonts w:ascii="宋体" w:hAnsi="宋体" w:eastAsia="宋体"/>
                <w:sz w:val="21"/>
                <w:szCs w:val="21"/>
              </w:rPr>
            </w:pPr>
          </w:p>
        </w:tc>
      </w:tr>
    </w:tbl>
    <w:p>
      <w:pPr>
        <w:ind w:firstLine="0"/>
        <w:rPr>
          <w:rFonts w:ascii="方正黑体_GBK" w:eastAsia="方正黑体_GBK"/>
          <w:szCs w:val="32"/>
        </w:rPr>
      </w:pPr>
      <w:r>
        <w:rPr>
          <w:rFonts w:hint="eastAsia" w:ascii="方正黑体_GBK" w:eastAsia="方正黑体_GBK"/>
          <w:szCs w:val="32"/>
        </w:rPr>
        <w:t>附件2</w:t>
      </w:r>
    </w:p>
    <w:p>
      <w:pPr>
        <w:ind w:firstLine="0"/>
        <w:rPr>
          <w:szCs w:val="32"/>
        </w:rPr>
      </w:pPr>
    </w:p>
    <w:p>
      <w:pPr>
        <w:ind w:firstLine="0"/>
        <w:rPr>
          <w:rFonts w:ascii="方正小标宋_GBK" w:cs="方正黑体_GBK"/>
        </w:rPr>
      </w:pPr>
    </w:p>
    <w:p>
      <w:pPr>
        <w:pStyle w:val="6"/>
      </w:pPr>
      <w:r>
        <w:rPr>
          <w:rFonts w:hint="eastAsia"/>
        </w:rPr>
        <w:t>江苏省绿色发展领军企业申请表</w:t>
      </w:r>
    </w:p>
    <w:p>
      <w:pPr>
        <w:ind w:firstLine="0"/>
        <w:rPr>
          <w:szCs w:val="32"/>
        </w:rPr>
      </w:pPr>
    </w:p>
    <w:p>
      <w:pPr>
        <w:pStyle w:val="7"/>
      </w:pPr>
      <w:r>
        <w:rPr>
          <w:rFonts w:hint="eastAsia"/>
        </w:rPr>
        <w:t>（样式）</w:t>
      </w: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ind w:firstLine="0"/>
        <w:jc w:val="center"/>
        <w:rPr>
          <w:szCs w:val="32"/>
        </w:rPr>
      </w:pPr>
      <w:r>
        <w:rPr>
          <w:rFonts w:hint="eastAsia"/>
          <w:szCs w:val="32"/>
        </w:rPr>
        <w:t>*****（企业名称，加盖公章）</w:t>
      </w:r>
    </w:p>
    <w:p>
      <w:pPr>
        <w:ind w:firstLine="0"/>
        <w:rPr>
          <w:szCs w:val="32"/>
        </w:rPr>
      </w:pPr>
    </w:p>
    <w:p>
      <w:pPr>
        <w:ind w:firstLine="0"/>
        <w:rPr>
          <w:szCs w:val="32"/>
        </w:rPr>
      </w:pPr>
    </w:p>
    <w:p>
      <w:pPr>
        <w:ind w:firstLine="0"/>
        <w:jc w:val="center"/>
        <w:rPr>
          <w:szCs w:val="32"/>
        </w:rPr>
      </w:pPr>
      <w:r>
        <w:rPr>
          <w:rFonts w:hint="eastAsia"/>
          <w:szCs w:val="32"/>
        </w:rPr>
        <w:t>申报日期：     年     月     日</w:t>
      </w: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ind w:firstLine="0"/>
        <w:rPr>
          <w:szCs w:val="32"/>
        </w:rPr>
      </w:pPr>
    </w:p>
    <w:p>
      <w:pPr>
        <w:pStyle w:val="6"/>
      </w:pPr>
      <w:r>
        <w:rPr>
          <w:rFonts w:hint="eastAsia"/>
        </w:rPr>
        <w:t>填 写 说 明</w:t>
      </w:r>
    </w:p>
    <w:p>
      <w:pPr>
        <w:rPr>
          <w:szCs w:val="32"/>
        </w:rPr>
      </w:pPr>
    </w:p>
    <w:p>
      <w:pPr>
        <w:rPr>
          <w:szCs w:val="32"/>
        </w:rPr>
      </w:pPr>
      <w:r>
        <w:rPr>
          <w:rFonts w:hint="eastAsia"/>
          <w:szCs w:val="32"/>
        </w:rPr>
        <w:t>一、申请企业应当准确、如实填报。</w:t>
      </w:r>
    </w:p>
    <w:p>
      <w:pPr>
        <w:rPr>
          <w:szCs w:val="32"/>
        </w:rPr>
      </w:pPr>
      <w:r>
        <w:rPr>
          <w:rFonts w:hint="eastAsia"/>
          <w:szCs w:val="32"/>
        </w:rPr>
        <w:t>二、相关项目页面不够时，可加附页。</w:t>
      </w:r>
    </w:p>
    <w:p>
      <w:pPr>
        <w:rPr>
          <w:szCs w:val="32"/>
        </w:rPr>
      </w:pPr>
      <w:r>
        <w:rPr>
          <w:rFonts w:hint="eastAsia"/>
          <w:szCs w:val="32"/>
        </w:rPr>
        <w:t>三、自评报告应按照规定格式填写，并使用 A4 纸打印装订（一式三份、电子版一份）。</w:t>
      </w:r>
    </w:p>
    <w:p>
      <w:pPr>
        <w:spacing w:line="80" w:lineRule="exact"/>
        <w:ind w:firstLine="0"/>
        <w:rPr>
          <w:szCs w:val="32"/>
        </w:rPr>
      </w:pPr>
      <w:r>
        <w:rPr>
          <w:szCs w:val="32"/>
        </w:rPr>
        <w:br w:type="page"/>
      </w: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458"/>
        <w:gridCol w:w="1176"/>
        <w:gridCol w:w="2375"/>
        <w:gridCol w:w="28"/>
        <w:gridCol w:w="417"/>
        <w:gridCol w:w="6"/>
        <w:gridCol w:w="526"/>
        <w:gridCol w:w="1546"/>
        <w:gridCol w:w="325"/>
        <w:gridCol w:w="84"/>
        <w:gridCol w:w="91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3"/>
            <w:shd w:val="clear" w:color="auto" w:fill="auto"/>
            <w:noWrap w:val="0"/>
            <w:vAlign w:val="center"/>
          </w:tcPr>
          <w:p>
            <w:pPr>
              <w:spacing w:line="240" w:lineRule="auto"/>
              <w:ind w:firstLine="0"/>
              <w:jc w:val="center"/>
              <w:rPr>
                <w:rFonts w:ascii="宋体" w:hAnsi="宋体" w:eastAsia="宋体"/>
                <w:b/>
                <w:bCs/>
                <w:color w:val="000000"/>
                <w:sz w:val="21"/>
                <w:szCs w:val="21"/>
              </w:rPr>
            </w:pPr>
            <w:r>
              <w:rPr>
                <w:rFonts w:hint="eastAsia" w:ascii="宋体" w:hAnsi="宋体" w:eastAsia="宋体"/>
                <w:sz w:val="21"/>
                <w:szCs w:val="21"/>
              </w:rPr>
              <w:t>企 业 名 称</w:t>
            </w:r>
          </w:p>
        </w:tc>
        <w:tc>
          <w:tcPr>
            <w:tcW w:w="7087" w:type="dxa"/>
            <w:gridSpan w:val="10"/>
            <w:shd w:val="clear" w:color="auto" w:fill="auto"/>
            <w:noWrap w:val="0"/>
            <w:vAlign w:val="center"/>
          </w:tcPr>
          <w:p>
            <w:pPr>
              <w:spacing w:line="240" w:lineRule="auto"/>
              <w:ind w:firstLine="0"/>
              <w:jc w:val="center"/>
              <w:rPr>
                <w:rFonts w:ascii="宋体" w:hAnsi="宋体" w:eastAsia="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235" w:type="dxa"/>
            <w:gridSpan w:val="3"/>
            <w:shd w:val="clear" w:color="auto" w:fill="auto"/>
            <w:noWrap w:val="0"/>
            <w:vAlign w:val="center"/>
          </w:tcPr>
          <w:p>
            <w:pPr>
              <w:spacing w:line="240" w:lineRule="auto"/>
              <w:ind w:firstLine="0"/>
              <w:jc w:val="center"/>
              <w:rPr>
                <w:rStyle w:val="8"/>
                <w:rFonts w:ascii="宋体" w:hAnsi="宋体" w:eastAsia="宋体"/>
                <w:b/>
                <w:bCs/>
                <w:sz w:val="21"/>
                <w:szCs w:val="21"/>
              </w:rPr>
            </w:pPr>
            <w:r>
              <w:rPr>
                <w:rFonts w:hint="eastAsia" w:ascii="宋体" w:hAnsi="宋体" w:eastAsia="宋体"/>
                <w:sz w:val="21"/>
                <w:szCs w:val="21"/>
              </w:rPr>
              <w:t>所 属 行 业</w:t>
            </w:r>
          </w:p>
        </w:tc>
        <w:tc>
          <w:tcPr>
            <w:tcW w:w="7087" w:type="dxa"/>
            <w:gridSpan w:val="10"/>
            <w:shd w:val="clear" w:color="auto" w:fill="auto"/>
            <w:noWrap w:val="0"/>
            <w:vAlign w:val="center"/>
          </w:tcPr>
          <w:p>
            <w:pPr>
              <w:spacing w:line="240" w:lineRule="auto"/>
              <w:ind w:firstLine="0"/>
              <w:jc w:val="center"/>
              <w:rPr>
                <w:rStyle w:val="8"/>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3"/>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通 讯 地 址</w:t>
            </w:r>
          </w:p>
        </w:tc>
        <w:tc>
          <w:tcPr>
            <w:tcW w:w="7087" w:type="dxa"/>
            <w:gridSpan w:val="10"/>
            <w:shd w:val="clear" w:color="auto" w:fill="auto"/>
            <w:noWrap w:val="0"/>
            <w:vAlign w:val="center"/>
          </w:tcPr>
          <w:p>
            <w:pPr>
              <w:spacing w:line="240" w:lineRule="auto"/>
              <w:ind w:firstLine="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3"/>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企 业 性 质</w:t>
            </w:r>
          </w:p>
        </w:tc>
        <w:tc>
          <w:tcPr>
            <w:tcW w:w="7087" w:type="dxa"/>
            <w:gridSpan w:val="10"/>
            <w:shd w:val="clear" w:color="auto" w:fill="auto"/>
            <w:noWrap w:val="0"/>
            <w:vAlign w:val="center"/>
          </w:tcPr>
          <w:p>
            <w:pPr>
              <w:spacing w:line="240" w:lineRule="auto"/>
              <w:ind w:firstLine="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3"/>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统 一 社 会</w:t>
            </w:r>
          </w:p>
          <w:p>
            <w:pPr>
              <w:spacing w:line="240" w:lineRule="auto"/>
              <w:ind w:firstLine="0"/>
              <w:jc w:val="center"/>
              <w:rPr>
                <w:rFonts w:ascii="宋体" w:hAnsi="宋体" w:eastAsia="宋体"/>
                <w:sz w:val="21"/>
                <w:szCs w:val="21"/>
              </w:rPr>
            </w:pPr>
            <w:r>
              <w:rPr>
                <w:rFonts w:hint="eastAsia" w:ascii="宋体" w:hAnsi="宋体" w:eastAsia="宋体"/>
                <w:sz w:val="21"/>
                <w:szCs w:val="21"/>
              </w:rPr>
              <w:t>信 用 代 码</w:t>
            </w:r>
          </w:p>
        </w:tc>
        <w:tc>
          <w:tcPr>
            <w:tcW w:w="2268" w:type="dxa"/>
            <w:shd w:val="clear" w:color="auto" w:fill="auto"/>
            <w:noWrap w:val="0"/>
            <w:vAlign w:val="center"/>
          </w:tcPr>
          <w:p>
            <w:pPr>
              <w:spacing w:line="240" w:lineRule="auto"/>
              <w:ind w:firstLine="0"/>
              <w:jc w:val="center"/>
              <w:rPr>
                <w:rFonts w:ascii="宋体" w:hAnsi="宋体" w:eastAsia="宋体"/>
                <w:sz w:val="21"/>
                <w:szCs w:val="21"/>
              </w:rPr>
            </w:pPr>
          </w:p>
        </w:tc>
        <w:tc>
          <w:tcPr>
            <w:tcW w:w="2409" w:type="dxa"/>
            <w:gridSpan w:val="5"/>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邮    编</w:t>
            </w:r>
          </w:p>
        </w:tc>
        <w:tc>
          <w:tcPr>
            <w:tcW w:w="2410" w:type="dxa"/>
            <w:gridSpan w:val="4"/>
            <w:shd w:val="clear" w:color="auto" w:fill="auto"/>
            <w:noWrap w:val="0"/>
            <w:vAlign w:val="center"/>
          </w:tcPr>
          <w:p>
            <w:pPr>
              <w:spacing w:line="240" w:lineRule="auto"/>
              <w:ind w:firstLine="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3"/>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法定代表人</w:t>
            </w:r>
          </w:p>
        </w:tc>
        <w:tc>
          <w:tcPr>
            <w:tcW w:w="2268" w:type="dxa"/>
            <w:shd w:val="clear" w:color="auto" w:fill="auto"/>
            <w:noWrap w:val="0"/>
            <w:vAlign w:val="center"/>
          </w:tcPr>
          <w:p>
            <w:pPr>
              <w:spacing w:line="240" w:lineRule="auto"/>
              <w:ind w:firstLine="0"/>
              <w:jc w:val="center"/>
              <w:rPr>
                <w:rFonts w:ascii="宋体" w:hAnsi="宋体" w:eastAsia="宋体"/>
                <w:sz w:val="21"/>
                <w:szCs w:val="21"/>
              </w:rPr>
            </w:pPr>
          </w:p>
        </w:tc>
        <w:tc>
          <w:tcPr>
            <w:tcW w:w="2409" w:type="dxa"/>
            <w:gridSpan w:val="5"/>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联 系 电 话</w:t>
            </w:r>
          </w:p>
        </w:tc>
        <w:tc>
          <w:tcPr>
            <w:tcW w:w="2410" w:type="dxa"/>
            <w:gridSpan w:val="4"/>
            <w:shd w:val="clear" w:color="auto" w:fill="auto"/>
            <w:noWrap w:val="0"/>
            <w:vAlign w:val="center"/>
          </w:tcPr>
          <w:p>
            <w:pPr>
              <w:spacing w:line="240" w:lineRule="auto"/>
              <w:ind w:firstLine="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3"/>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申 报 工 作</w:t>
            </w:r>
          </w:p>
          <w:p>
            <w:pPr>
              <w:spacing w:line="240" w:lineRule="auto"/>
              <w:ind w:firstLine="0"/>
              <w:jc w:val="center"/>
              <w:rPr>
                <w:rFonts w:ascii="宋体" w:hAnsi="宋体" w:eastAsia="宋体"/>
                <w:sz w:val="21"/>
                <w:szCs w:val="21"/>
              </w:rPr>
            </w:pPr>
            <w:r>
              <w:rPr>
                <w:rFonts w:hint="eastAsia" w:ascii="宋体" w:hAnsi="宋体" w:eastAsia="宋体"/>
                <w:sz w:val="21"/>
                <w:szCs w:val="21"/>
              </w:rPr>
              <w:t>联 系 部 门</w:t>
            </w:r>
          </w:p>
        </w:tc>
        <w:tc>
          <w:tcPr>
            <w:tcW w:w="2268" w:type="dxa"/>
            <w:shd w:val="clear" w:color="auto" w:fill="auto"/>
            <w:noWrap w:val="0"/>
            <w:vAlign w:val="center"/>
          </w:tcPr>
          <w:p>
            <w:pPr>
              <w:spacing w:line="240" w:lineRule="auto"/>
              <w:ind w:firstLine="0"/>
              <w:jc w:val="center"/>
              <w:rPr>
                <w:rFonts w:ascii="宋体" w:hAnsi="宋体" w:eastAsia="宋体"/>
                <w:sz w:val="21"/>
                <w:szCs w:val="21"/>
              </w:rPr>
            </w:pPr>
          </w:p>
        </w:tc>
        <w:tc>
          <w:tcPr>
            <w:tcW w:w="2409" w:type="dxa"/>
            <w:gridSpan w:val="5"/>
            <w:shd w:val="clear" w:color="auto" w:fill="auto"/>
            <w:noWrap w:val="0"/>
            <w:vAlign w:val="center"/>
          </w:tcPr>
          <w:p>
            <w:pPr>
              <w:spacing w:line="240" w:lineRule="auto"/>
              <w:ind w:firstLine="0"/>
              <w:jc w:val="center"/>
              <w:rPr>
                <w:rFonts w:ascii="宋体" w:hAnsi="宋体" w:eastAsia="宋体"/>
                <w:sz w:val="21"/>
                <w:szCs w:val="21"/>
              </w:rPr>
            </w:pPr>
            <w:r>
              <w:rPr>
                <w:rFonts w:hint="eastAsia" w:ascii="宋体" w:hAnsi="宋体" w:eastAsia="宋体"/>
                <w:sz w:val="21"/>
                <w:szCs w:val="21"/>
              </w:rPr>
              <w:t>联 系 人 及</w:t>
            </w:r>
          </w:p>
          <w:p>
            <w:pPr>
              <w:spacing w:line="240" w:lineRule="auto"/>
              <w:ind w:firstLine="0"/>
              <w:jc w:val="center"/>
              <w:rPr>
                <w:rFonts w:ascii="宋体" w:hAnsi="宋体" w:eastAsia="宋体"/>
                <w:sz w:val="21"/>
                <w:szCs w:val="21"/>
              </w:rPr>
            </w:pPr>
            <w:r>
              <w:rPr>
                <w:rFonts w:hint="eastAsia" w:ascii="宋体" w:hAnsi="宋体" w:eastAsia="宋体"/>
                <w:sz w:val="21"/>
                <w:szCs w:val="21"/>
              </w:rPr>
              <w:t>联 系 方 式</w:t>
            </w:r>
          </w:p>
        </w:tc>
        <w:tc>
          <w:tcPr>
            <w:tcW w:w="2410" w:type="dxa"/>
            <w:gridSpan w:val="4"/>
            <w:shd w:val="clear" w:color="auto" w:fill="auto"/>
            <w:noWrap w:val="0"/>
            <w:vAlign w:val="center"/>
          </w:tcPr>
          <w:p>
            <w:pPr>
              <w:spacing w:line="240" w:lineRule="auto"/>
              <w:ind w:firstLine="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2" w:type="dxa"/>
            <w:gridSpan w:val="13"/>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企业自评内容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一级指标</w:t>
            </w:r>
          </w:p>
        </w:tc>
        <w:tc>
          <w:tcPr>
            <w:tcW w:w="437"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序号</w:t>
            </w:r>
          </w:p>
        </w:tc>
        <w:tc>
          <w:tcPr>
            <w:tcW w:w="4324" w:type="dxa"/>
            <w:gridSpan w:val="6"/>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二级指标</w:t>
            </w:r>
          </w:p>
        </w:tc>
        <w:tc>
          <w:tcPr>
            <w:tcW w:w="3886" w:type="dxa"/>
            <w:gridSpan w:val="5"/>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hint="eastAsia" w:ascii="宋体" w:hAnsi="宋体" w:eastAsia="宋体"/>
                <w:b/>
                <w:bCs/>
                <w:sz w:val="21"/>
                <w:szCs w:val="21"/>
              </w:rPr>
              <w:t>是否具备申报条件（在□内打√）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675" w:type="dxa"/>
            <w:vMerge w:val="restart"/>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基本要求</w:t>
            </w:r>
          </w:p>
        </w:tc>
        <w:tc>
          <w:tcPr>
            <w:tcW w:w="437" w:type="dxa"/>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1</w:t>
            </w:r>
          </w:p>
        </w:tc>
        <w:tc>
          <w:tcPr>
            <w:tcW w:w="4324" w:type="dxa"/>
            <w:gridSpan w:val="6"/>
            <w:shd w:val="clear" w:color="auto" w:fill="auto"/>
            <w:noWrap w:val="0"/>
            <w:vAlign w:val="center"/>
          </w:tcPr>
          <w:p>
            <w:pPr>
              <w:spacing w:line="220" w:lineRule="exact"/>
              <w:ind w:firstLine="0"/>
              <w:rPr>
                <w:rFonts w:ascii="宋体" w:hAnsi="宋体" w:eastAsia="宋体" w:cs="MingLiU"/>
                <w:b/>
                <w:bCs/>
                <w:color w:val="000000"/>
                <w:sz w:val="21"/>
                <w:szCs w:val="21"/>
              </w:rPr>
            </w:pPr>
            <w:r>
              <w:rPr>
                <w:rStyle w:val="8"/>
                <w:rFonts w:hint="eastAsia" w:ascii="宋体" w:hAnsi="宋体" w:eastAsia="宋体"/>
                <w:snapToGrid/>
                <w:kern w:val="2"/>
                <w:sz w:val="21"/>
                <w:szCs w:val="21"/>
              </w:rPr>
              <w:t>按照《环境管理体系要求及使用指南》（GB/T24001—2016/ISO14001:2015），建立实施企业环境管理体系。</w:t>
            </w:r>
          </w:p>
        </w:tc>
        <w:tc>
          <w:tcPr>
            <w:tcW w:w="1902"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2</w:t>
            </w:r>
          </w:p>
        </w:tc>
        <w:tc>
          <w:tcPr>
            <w:tcW w:w="4324" w:type="dxa"/>
            <w:gridSpan w:val="6"/>
            <w:shd w:val="clear" w:color="auto" w:fill="auto"/>
            <w:noWrap w:val="0"/>
            <w:vAlign w:val="center"/>
          </w:tcPr>
          <w:p>
            <w:pPr>
              <w:spacing w:line="240" w:lineRule="auto"/>
              <w:ind w:firstLine="0"/>
              <w:rPr>
                <w:rFonts w:ascii="宋体" w:hAnsi="宋体" w:eastAsia="宋体"/>
                <w:sz w:val="21"/>
                <w:szCs w:val="21"/>
              </w:rPr>
            </w:pPr>
            <w:r>
              <w:rPr>
                <w:rStyle w:val="8"/>
                <w:rFonts w:hint="eastAsia" w:ascii="宋体" w:hAnsi="宋体" w:eastAsia="宋体"/>
                <w:snapToGrid/>
                <w:kern w:val="2"/>
                <w:sz w:val="21"/>
                <w:szCs w:val="21"/>
              </w:rPr>
              <w:t>符合国家和省产业政策要求。</w:t>
            </w:r>
          </w:p>
        </w:tc>
        <w:tc>
          <w:tcPr>
            <w:tcW w:w="1902"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3</w:t>
            </w:r>
          </w:p>
        </w:tc>
        <w:tc>
          <w:tcPr>
            <w:tcW w:w="4324" w:type="dxa"/>
            <w:gridSpan w:val="6"/>
            <w:shd w:val="clear" w:color="auto" w:fill="auto"/>
            <w:noWrap w:val="0"/>
            <w:vAlign w:val="center"/>
          </w:tcPr>
          <w:p>
            <w:pPr>
              <w:spacing w:line="240" w:lineRule="auto"/>
              <w:ind w:firstLine="0"/>
              <w:rPr>
                <w:rFonts w:ascii="宋体" w:hAnsi="宋体" w:eastAsia="宋体"/>
                <w:sz w:val="21"/>
                <w:szCs w:val="21"/>
              </w:rPr>
            </w:pPr>
            <w:r>
              <w:rPr>
                <w:rStyle w:val="8"/>
                <w:rFonts w:hint="eastAsia" w:ascii="宋体" w:hAnsi="宋体" w:eastAsia="宋体"/>
                <w:snapToGrid/>
                <w:kern w:val="2"/>
                <w:sz w:val="21"/>
                <w:szCs w:val="21"/>
              </w:rPr>
              <w:t>在线监测监控系统与生态环境部门联网。</w:t>
            </w:r>
          </w:p>
        </w:tc>
        <w:tc>
          <w:tcPr>
            <w:tcW w:w="1902"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4</w:t>
            </w:r>
          </w:p>
        </w:tc>
        <w:tc>
          <w:tcPr>
            <w:tcW w:w="4324" w:type="dxa"/>
            <w:gridSpan w:val="6"/>
            <w:shd w:val="clear" w:color="auto" w:fill="auto"/>
            <w:noWrap w:val="0"/>
            <w:vAlign w:val="center"/>
          </w:tcPr>
          <w:p>
            <w:pPr>
              <w:spacing w:line="240" w:lineRule="auto"/>
              <w:ind w:firstLine="0"/>
              <w:rPr>
                <w:rFonts w:ascii="宋体" w:hAnsi="宋体" w:eastAsia="宋体"/>
                <w:sz w:val="21"/>
                <w:szCs w:val="21"/>
              </w:rPr>
            </w:pPr>
            <w:r>
              <w:rPr>
                <w:rStyle w:val="8"/>
                <w:rFonts w:hint="eastAsia" w:ascii="宋体" w:hAnsi="宋体" w:eastAsia="宋体"/>
                <w:snapToGrid/>
                <w:kern w:val="2"/>
                <w:sz w:val="21"/>
                <w:szCs w:val="21"/>
              </w:rPr>
              <w:t>近三年内无重大及以上环境违法违规行为，未发生突发环境事件。</w:t>
            </w:r>
          </w:p>
        </w:tc>
        <w:tc>
          <w:tcPr>
            <w:tcW w:w="1902"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1984" w:type="dxa"/>
            <w:gridSpan w:val="2"/>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一级指标</w:t>
            </w:r>
          </w:p>
        </w:tc>
        <w:tc>
          <w:tcPr>
            <w:tcW w:w="437"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序号</w:t>
            </w:r>
          </w:p>
        </w:tc>
        <w:tc>
          <w:tcPr>
            <w:tcW w:w="1123"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ascii="宋体" w:hAnsi="宋体" w:eastAsia="宋体"/>
                <w:b/>
                <w:bCs/>
                <w:sz w:val="21"/>
                <w:szCs w:val="21"/>
              </w:rPr>
              <w:t>二级指标</w:t>
            </w:r>
          </w:p>
        </w:tc>
        <w:tc>
          <w:tcPr>
            <w:tcW w:w="6095" w:type="dxa"/>
            <w:gridSpan w:val="9"/>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hint="eastAsia" w:ascii="宋体" w:hAnsi="宋体" w:eastAsia="宋体"/>
                <w:b/>
                <w:bCs/>
                <w:sz w:val="21"/>
                <w:szCs w:val="21"/>
              </w:rPr>
              <w:t>自评情况（参照附件1评分标准开展自评）</w:t>
            </w:r>
          </w:p>
        </w:tc>
        <w:tc>
          <w:tcPr>
            <w:tcW w:w="992" w:type="dxa"/>
            <w:shd w:val="clear" w:color="auto" w:fill="auto"/>
            <w:noWrap w:val="0"/>
            <w:vAlign w:val="center"/>
          </w:tcPr>
          <w:p>
            <w:pPr>
              <w:spacing w:line="240" w:lineRule="auto"/>
              <w:ind w:firstLine="0"/>
              <w:jc w:val="center"/>
              <w:rPr>
                <w:rFonts w:ascii="宋体" w:hAnsi="宋体" w:eastAsia="宋体"/>
                <w:b/>
                <w:bCs/>
                <w:color w:val="000000"/>
                <w:sz w:val="21"/>
                <w:szCs w:val="21"/>
              </w:rPr>
            </w:pPr>
            <w:r>
              <w:rPr>
                <w:rStyle w:val="8"/>
                <w:rFonts w:hint="eastAsia" w:ascii="宋体" w:hAnsi="宋体" w:eastAsia="宋体"/>
                <w:b/>
                <w:bCs/>
                <w:sz w:val="21"/>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工艺装备</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生产工艺水平</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2</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通用装备运行效率</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3</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通用用能设备标准</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节能降耗</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4</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w:t>
            </w:r>
            <w:r>
              <w:rPr>
                <w:rStyle w:val="8"/>
                <w:rFonts w:ascii="宋体" w:hAnsi="宋体" w:eastAsia="宋体"/>
                <w:snapToGrid/>
                <w:kern w:val="2"/>
                <w:sz w:val="21"/>
                <w:szCs w:val="21"/>
              </w:rPr>
              <w:t>综合能耗</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5</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w:t>
            </w:r>
            <w:r>
              <w:rPr>
                <w:rStyle w:val="8"/>
                <w:rFonts w:ascii="宋体" w:hAnsi="宋体" w:eastAsia="宋体"/>
                <w:snapToGrid/>
                <w:kern w:val="2"/>
                <w:sz w:val="21"/>
                <w:szCs w:val="21"/>
              </w:rPr>
              <w:t>电耗</w:t>
            </w:r>
          </w:p>
        </w:tc>
        <w:tc>
          <w:tcPr>
            <w:tcW w:w="6095" w:type="dxa"/>
            <w:gridSpan w:val="9"/>
            <w:shd w:val="clear" w:color="auto" w:fill="auto"/>
            <w:noWrap w:val="0"/>
            <w:vAlign w:val="center"/>
          </w:tcPr>
          <w:p>
            <w:pPr>
              <w:spacing w:line="240" w:lineRule="auto"/>
              <w:ind w:firstLine="0"/>
              <w:jc w:val="center"/>
              <w:rPr>
                <w:rStyle w:val="8"/>
                <w:rFonts w:ascii="宋体" w:hAnsi="宋体" w:eastAsia="宋体"/>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6</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产品水耗</w:t>
            </w:r>
          </w:p>
        </w:tc>
        <w:tc>
          <w:tcPr>
            <w:tcW w:w="6095" w:type="dxa"/>
            <w:gridSpan w:val="9"/>
            <w:shd w:val="clear" w:color="auto" w:fill="auto"/>
            <w:noWrap w:val="0"/>
            <w:vAlign w:val="center"/>
          </w:tcPr>
          <w:p>
            <w:pPr>
              <w:spacing w:line="240" w:lineRule="auto"/>
              <w:ind w:firstLine="0"/>
              <w:jc w:val="center"/>
              <w:rPr>
                <w:rStyle w:val="8"/>
                <w:rFonts w:ascii="宋体" w:hAnsi="宋体" w:eastAsia="宋体"/>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循环利用</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7</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Fonts w:hint="eastAsia" w:ascii="宋体" w:hAnsi="宋体" w:eastAsia="宋体"/>
                <w:color w:val="000000"/>
                <w:sz w:val="21"/>
                <w:szCs w:val="21"/>
              </w:rPr>
              <w:t>产品可回收利用率</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8</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有害物质使用</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9</w:t>
            </w:r>
          </w:p>
        </w:tc>
        <w:tc>
          <w:tcPr>
            <w:tcW w:w="1123" w:type="dxa"/>
            <w:shd w:val="clear" w:color="auto" w:fill="auto"/>
            <w:noWrap w:val="0"/>
            <w:vAlign w:val="center"/>
          </w:tcPr>
          <w:p>
            <w:pPr>
              <w:spacing w:line="220" w:lineRule="exact"/>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固体废物资源化综合利用</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10</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用水循环利用率</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污染排放</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11</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污染治理设施</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12</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污染监测监控能力</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13</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碳排放</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14</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水污染物排放</w:t>
            </w:r>
          </w:p>
        </w:tc>
        <w:tc>
          <w:tcPr>
            <w:tcW w:w="6095" w:type="dxa"/>
            <w:gridSpan w:val="9"/>
            <w:shd w:val="clear" w:color="auto" w:fill="auto"/>
            <w:noWrap w:val="0"/>
            <w:vAlign w:val="center"/>
          </w:tcPr>
          <w:p>
            <w:pPr>
              <w:spacing w:line="240" w:lineRule="auto"/>
              <w:ind w:firstLine="0"/>
              <w:jc w:val="center"/>
              <w:rPr>
                <w:rStyle w:val="8"/>
                <w:rFonts w:ascii="宋体" w:hAnsi="宋体" w:eastAsia="宋体"/>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15</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大气污染物排放</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16</w:t>
            </w:r>
          </w:p>
        </w:tc>
        <w:tc>
          <w:tcPr>
            <w:tcW w:w="1123" w:type="dxa"/>
            <w:shd w:val="clear" w:color="auto" w:fill="auto"/>
            <w:noWrap w:val="0"/>
            <w:vAlign w:val="center"/>
          </w:tcPr>
          <w:p>
            <w:pPr>
              <w:spacing w:line="220" w:lineRule="exact"/>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固体废物危险废物</w:t>
            </w:r>
            <w:r>
              <w:rPr>
                <w:rStyle w:val="8"/>
                <w:rFonts w:hint="eastAsia" w:ascii="宋体" w:hAnsi="宋体" w:eastAsia="宋体"/>
                <w:snapToGrid/>
                <w:spacing w:val="-12"/>
                <w:kern w:val="2"/>
                <w:sz w:val="21"/>
                <w:szCs w:val="21"/>
              </w:rPr>
              <w:t>产生和处理</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Style w:val="8"/>
                <w:rFonts w:ascii="宋体" w:hAnsi="宋体" w:eastAsia="宋体"/>
                <w:b/>
                <w:bCs/>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17</w:t>
            </w:r>
          </w:p>
        </w:tc>
        <w:tc>
          <w:tcPr>
            <w:tcW w:w="1123" w:type="dxa"/>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噪声排放</w:t>
            </w:r>
          </w:p>
        </w:tc>
        <w:tc>
          <w:tcPr>
            <w:tcW w:w="6095" w:type="dxa"/>
            <w:gridSpan w:val="9"/>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c>
          <w:tcPr>
            <w:tcW w:w="992"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一级指标</w:t>
            </w:r>
          </w:p>
        </w:tc>
        <w:tc>
          <w:tcPr>
            <w:tcW w:w="437" w:type="dxa"/>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序号</w:t>
            </w:r>
          </w:p>
        </w:tc>
        <w:tc>
          <w:tcPr>
            <w:tcW w:w="3822" w:type="dxa"/>
            <w:gridSpan w:val="5"/>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ascii="宋体" w:hAnsi="宋体" w:eastAsia="宋体"/>
                <w:b/>
                <w:bCs/>
                <w:sz w:val="21"/>
                <w:szCs w:val="21"/>
              </w:rPr>
              <w:t>二级指标</w:t>
            </w:r>
          </w:p>
        </w:tc>
        <w:tc>
          <w:tcPr>
            <w:tcW w:w="4388" w:type="dxa"/>
            <w:gridSpan w:val="6"/>
            <w:shd w:val="clear" w:color="auto" w:fill="auto"/>
            <w:noWrap w:val="0"/>
            <w:vAlign w:val="center"/>
          </w:tcPr>
          <w:p>
            <w:pPr>
              <w:spacing w:line="240" w:lineRule="auto"/>
              <w:ind w:firstLine="0"/>
              <w:jc w:val="center"/>
              <w:rPr>
                <w:rStyle w:val="8"/>
                <w:rFonts w:ascii="宋体" w:hAnsi="宋体" w:eastAsia="宋体"/>
                <w:sz w:val="21"/>
                <w:szCs w:val="21"/>
              </w:rPr>
            </w:pPr>
            <w:r>
              <w:rPr>
                <w:rStyle w:val="8"/>
                <w:rFonts w:hint="eastAsia" w:ascii="宋体" w:hAnsi="宋体" w:eastAsia="宋体"/>
                <w:b/>
                <w:bCs/>
                <w:sz w:val="21"/>
                <w:szCs w:val="21"/>
              </w:rPr>
              <w:t>是否具备，每有1项，加5分（在□内打√）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shd w:val="clear" w:color="auto" w:fill="auto"/>
            <w:noWrap w:val="0"/>
            <w:vAlign w:val="center"/>
          </w:tcPr>
          <w:p>
            <w:pPr>
              <w:spacing w:line="240" w:lineRule="auto"/>
              <w:ind w:firstLine="0"/>
              <w:jc w:val="center"/>
              <w:rPr>
                <w:rStyle w:val="8"/>
                <w:rFonts w:ascii="宋体" w:hAnsi="宋体" w:eastAsia="宋体"/>
                <w:b/>
                <w:bCs/>
                <w:sz w:val="21"/>
                <w:szCs w:val="21"/>
              </w:rPr>
            </w:pPr>
            <w:r>
              <w:rPr>
                <w:rStyle w:val="8"/>
                <w:rFonts w:hint="eastAsia" w:ascii="宋体" w:hAnsi="宋体" w:eastAsia="宋体"/>
                <w:b/>
                <w:bCs/>
                <w:sz w:val="21"/>
                <w:szCs w:val="21"/>
              </w:rPr>
              <w:t>加分项目</w:t>
            </w: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1</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通过清洁生产审核</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2</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绿色设计示范企业</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3</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绿色工厂</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4</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绿色供应链管理企业</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5</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重点用水企业水效领跑者</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6</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废旧材料综合利用行业规范企业</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7</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用能产品能效领跑者</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hint="eastAsia" w:ascii="宋体" w:hAnsi="宋体" w:eastAsia="宋体"/>
                <w:snapToGrid/>
                <w:kern w:val="2"/>
                <w:sz w:val="21"/>
                <w:szCs w:val="21"/>
              </w:rPr>
              <w:t>8</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绿色设计产品</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noWrap w:val="0"/>
            <w:vAlign w:val="center"/>
          </w:tcPr>
          <w:p>
            <w:pPr>
              <w:spacing w:line="240" w:lineRule="auto"/>
              <w:ind w:firstLine="0"/>
              <w:jc w:val="center"/>
              <w:rPr>
                <w:rFonts w:ascii="宋体" w:hAnsi="宋体" w:eastAsia="宋体"/>
                <w:sz w:val="21"/>
                <w:szCs w:val="21"/>
              </w:rPr>
            </w:pPr>
          </w:p>
        </w:tc>
        <w:tc>
          <w:tcPr>
            <w:tcW w:w="437" w:type="dxa"/>
            <w:shd w:val="clear" w:color="auto" w:fill="auto"/>
            <w:noWrap w:val="0"/>
            <w:vAlign w:val="center"/>
          </w:tcPr>
          <w:p>
            <w:pPr>
              <w:spacing w:line="240" w:lineRule="auto"/>
              <w:ind w:firstLine="0"/>
              <w:jc w:val="center"/>
              <w:rPr>
                <w:rStyle w:val="8"/>
                <w:rFonts w:ascii="宋体" w:hAnsi="宋体" w:eastAsia="宋体"/>
                <w:snapToGrid/>
                <w:kern w:val="2"/>
                <w:sz w:val="21"/>
                <w:szCs w:val="21"/>
              </w:rPr>
            </w:pPr>
            <w:r>
              <w:rPr>
                <w:rStyle w:val="8"/>
                <w:rFonts w:ascii="宋体" w:hAnsi="宋体" w:eastAsia="宋体"/>
                <w:snapToGrid/>
                <w:kern w:val="2"/>
                <w:sz w:val="21"/>
                <w:szCs w:val="21"/>
              </w:rPr>
              <w:t>9</w:t>
            </w:r>
          </w:p>
        </w:tc>
        <w:tc>
          <w:tcPr>
            <w:tcW w:w="3822" w:type="dxa"/>
            <w:gridSpan w:val="5"/>
            <w:shd w:val="clear" w:color="auto" w:fill="auto"/>
            <w:noWrap w:val="0"/>
            <w:vAlign w:val="center"/>
          </w:tcPr>
          <w:p>
            <w:pPr>
              <w:spacing w:line="240" w:lineRule="auto"/>
              <w:ind w:firstLine="0"/>
              <w:rPr>
                <w:rStyle w:val="8"/>
                <w:rFonts w:ascii="宋体" w:hAnsi="宋体" w:eastAsia="宋体"/>
                <w:snapToGrid/>
                <w:kern w:val="2"/>
                <w:sz w:val="21"/>
                <w:szCs w:val="21"/>
              </w:rPr>
            </w:pPr>
            <w:r>
              <w:rPr>
                <w:rStyle w:val="8"/>
                <w:rFonts w:hint="eastAsia" w:ascii="宋体" w:hAnsi="宋体" w:eastAsia="宋体"/>
                <w:snapToGrid/>
                <w:kern w:val="2"/>
                <w:sz w:val="21"/>
                <w:szCs w:val="21"/>
              </w:rPr>
              <w:t>高耗能行业能效领跑者</w:t>
            </w:r>
          </w:p>
        </w:tc>
        <w:tc>
          <w:tcPr>
            <w:tcW w:w="2317"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是  □</w:t>
            </w:r>
          </w:p>
        </w:tc>
        <w:tc>
          <w:tcPr>
            <w:tcW w:w="2071" w:type="dxa"/>
            <w:gridSpan w:val="3"/>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gridSpan w:val="6"/>
            <w:shd w:val="clear" w:color="auto" w:fill="auto"/>
            <w:noWrap w:val="0"/>
            <w:vAlign w:val="center"/>
          </w:tcPr>
          <w:p>
            <w:pPr>
              <w:spacing w:line="240" w:lineRule="auto"/>
              <w:ind w:firstLine="0"/>
              <w:jc w:val="center"/>
              <w:rPr>
                <w:rFonts w:ascii="宋体" w:hAnsi="宋体" w:eastAsia="宋体"/>
                <w:sz w:val="21"/>
                <w:szCs w:val="21"/>
              </w:rPr>
            </w:pPr>
            <w:r>
              <w:rPr>
                <w:rStyle w:val="8"/>
                <w:rFonts w:hint="eastAsia" w:ascii="宋体" w:hAnsi="宋体" w:eastAsia="宋体"/>
                <w:b/>
                <w:bCs/>
                <w:sz w:val="21"/>
                <w:szCs w:val="21"/>
              </w:rPr>
              <w:t>实际总得分</w:t>
            </w:r>
          </w:p>
        </w:tc>
        <w:tc>
          <w:tcPr>
            <w:tcW w:w="4394" w:type="dxa"/>
            <w:gridSpan w:val="7"/>
            <w:shd w:val="clear" w:color="auto" w:fill="auto"/>
            <w:noWrap w:val="0"/>
            <w:vAlign w:val="center"/>
          </w:tcPr>
          <w:p>
            <w:pPr>
              <w:spacing w:line="240" w:lineRule="auto"/>
              <w:ind w:firstLine="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9322" w:type="dxa"/>
            <w:gridSpan w:val="13"/>
            <w:shd w:val="clear" w:color="auto" w:fill="auto"/>
            <w:noWrap w:val="0"/>
            <w:vAlign w:val="center"/>
          </w:tcPr>
          <w:p>
            <w:pPr>
              <w:spacing w:line="240" w:lineRule="auto"/>
              <w:ind w:firstLine="0"/>
              <w:rPr>
                <w:rStyle w:val="8"/>
                <w:rFonts w:ascii="宋体" w:hAnsi="宋体" w:eastAsia="宋体"/>
                <w:b/>
                <w:bCs/>
                <w:sz w:val="21"/>
                <w:szCs w:val="21"/>
              </w:rPr>
            </w:pPr>
            <w:r>
              <w:rPr>
                <w:rStyle w:val="8"/>
                <w:rFonts w:hint="eastAsia" w:ascii="宋体" w:hAnsi="宋体" w:eastAsia="宋体"/>
                <w:b/>
                <w:bCs/>
                <w:sz w:val="21"/>
                <w:szCs w:val="21"/>
              </w:rPr>
              <w:t>申报材料真实性承诺：</w:t>
            </w:r>
          </w:p>
          <w:p>
            <w:pPr>
              <w:spacing w:line="240" w:lineRule="auto"/>
              <w:ind w:firstLine="412" w:firstLineChars="200"/>
              <w:rPr>
                <w:rStyle w:val="8"/>
                <w:rFonts w:ascii="宋体" w:hAnsi="宋体" w:eastAsia="宋体"/>
                <w:b/>
                <w:bCs/>
                <w:sz w:val="21"/>
                <w:szCs w:val="21"/>
              </w:rPr>
            </w:pPr>
            <w:r>
              <w:rPr>
                <w:rStyle w:val="8"/>
                <w:rFonts w:hint="eastAsia" w:ascii="宋体" w:hAnsi="宋体" w:eastAsia="宋体"/>
                <w:b/>
                <w:bCs/>
                <w:sz w:val="21"/>
                <w:szCs w:val="21"/>
              </w:rPr>
              <w:t>我单位郑重承诺：本次申报所提交的相关数据和信息真实、有效，愿接受并积极配合主管部门的监督抽查和核验。如有违反，愿承担由此产生的相应责任。</w:t>
            </w:r>
          </w:p>
          <w:p>
            <w:pPr>
              <w:spacing w:line="240" w:lineRule="auto"/>
              <w:ind w:firstLine="0"/>
              <w:jc w:val="center"/>
              <w:rPr>
                <w:rStyle w:val="8"/>
                <w:rFonts w:ascii="宋体" w:hAnsi="宋体" w:eastAsia="宋体"/>
                <w:b/>
                <w:bCs/>
                <w:sz w:val="21"/>
                <w:szCs w:val="21"/>
              </w:rPr>
            </w:pPr>
          </w:p>
          <w:p>
            <w:pPr>
              <w:spacing w:line="240" w:lineRule="auto"/>
              <w:ind w:firstLine="4944" w:firstLineChars="2400"/>
              <w:rPr>
                <w:rStyle w:val="8"/>
                <w:rFonts w:ascii="宋体" w:hAnsi="宋体" w:eastAsia="宋体"/>
                <w:b/>
                <w:bCs/>
                <w:sz w:val="21"/>
                <w:szCs w:val="21"/>
              </w:rPr>
            </w:pPr>
            <w:r>
              <w:rPr>
                <w:rStyle w:val="8"/>
                <w:rFonts w:hint="eastAsia" w:ascii="宋体" w:hAnsi="宋体" w:eastAsia="宋体"/>
                <w:b/>
                <w:bCs/>
                <w:sz w:val="21"/>
                <w:szCs w:val="21"/>
              </w:rPr>
              <w:t>法人或单位负责人签字：</w:t>
            </w:r>
          </w:p>
          <w:p>
            <w:pPr>
              <w:spacing w:line="240" w:lineRule="auto"/>
              <w:ind w:firstLine="4944" w:firstLineChars="2400"/>
              <w:rPr>
                <w:rStyle w:val="8"/>
                <w:rFonts w:ascii="宋体" w:hAnsi="宋体" w:eastAsia="宋体"/>
                <w:b/>
                <w:bCs/>
                <w:sz w:val="21"/>
                <w:szCs w:val="21"/>
              </w:rPr>
            </w:pPr>
            <w:r>
              <w:rPr>
                <w:rStyle w:val="8"/>
                <w:rFonts w:hint="eastAsia" w:ascii="宋体" w:hAnsi="宋体" w:eastAsia="宋体"/>
                <w:b/>
                <w:bCs/>
                <w:sz w:val="21"/>
                <w:szCs w:val="21"/>
              </w:rPr>
              <w:t>（公章）</w:t>
            </w:r>
          </w:p>
          <w:p>
            <w:pPr>
              <w:spacing w:line="240" w:lineRule="auto"/>
              <w:ind w:firstLine="4944" w:firstLineChars="2400"/>
              <w:rPr>
                <w:rFonts w:ascii="宋体" w:hAnsi="宋体" w:eastAsia="宋体"/>
                <w:sz w:val="21"/>
                <w:szCs w:val="21"/>
              </w:rPr>
            </w:pPr>
            <w:r>
              <w:rPr>
                <w:rStyle w:val="8"/>
                <w:rFonts w:hint="eastAsia" w:ascii="宋体" w:hAnsi="宋体" w:eastAsia="宋体"/>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530" w:type="dxa"/>
            <w:gridSpan w:val="5"/>
            <w:shd w:val="clear" w:color="auto" w:fill="auto"/>
            <w:noWrap w:val="0"/>
            <w:vAlign w:val="center"/>
          </w:tcPr>
          <w:p>
            <w:pPr>
              <w:spacing w:line="240" w:lineRule="auto"/>
              <w:ind w:firstLine="0"/>
              <w:rPr>
                <w:rStyle w:val="8"/>
                <w:rFonts w:ascii="宋体" w:hAnsi="宋体" w:eastAsia="宋体"/>
                <w:b/>
                <w:bCs/>
                <w:sz w:val="21"/>
                <w:szCs w:val="21"/>
              </w:rPr>
            </w:pPr>
            <w:r>
              <w:rPr>
                <w:rStyle w:val="8"/>
                <w:rFonts w:hint="eastAsia" w:ascii="宋体" w:hAnsi="宋体" w:eastAsia="宋体"/>
                <w:b/>
                <w:bCs/>
                <w:sz w:val="21"/>
                <w:szCs w:val="21"/>
              </w:rPr>
              <w:t>县（市、区）生态环境部门、工商联初审意见：</w:t>
            </w:r>
          </w:p>
          <w:p>
            <w:pPr>
              <w:spacing w:line="240" w:lineRule="auto"/>
              <w:ind w:firstLine="0"/>
              <w:rPr>
                <w:rStyle w:val="8"/>
                <w:rFonts w:ascii="宋体" w:hAnsi="宋体" w:eastAsia="宋体"/>
                <w:b/>
                <w:bCs/>
                <w:sz w:val="21"/>
                <w:szCs w:val="21"/>
              </w:rPr>
            </w:pPr>
          </w:p>
          <w:p>
            <w:pPr>
              <w:spacing w:line="240" w:lineRule="auto"/>
              <w:ind w:firstLine="2472" w:firstLineChars="1200"/>
              <w:rPr>
                <w:rStyle w:val="8"/>
                <w:rFonts w:ascii="宋体" w:hAnsi="宋体" w:eastAsia="宋体"/>
                <w:b/>
                <w:bCs/>
                <w:sz w:val="21"/>
                <w:szCs w:val="21"/>
              </w:rPr>
            </w:pPr>
            <w:r>
              <w:rPr>
                <w:rStyle w:val="8"/>
                <w:rFonts w:hint="eastAsia" w:ascii="宋体" w:hAnsi="宋体" w:eastAsia="宋体"/>
                <w:b/>
                <w:bCs/>
                <w:sz w:val="21"/>
                <w:szCs w:val="21"/>
              </w:rPr>
              <w:t>（公章）</w:t>
            </w:r>
          </w:p>
          <w:p>
            <w:pPr>
              <w:spacing w:line="240" w:lineRule="auto"/>
              <w:ind w:firstLine="2472" w:firstLineChars="1200"/>
              <w:rPr>
                <w:rFonts w:ascii="宋体" w:hAnsi="宋体" w:eastAsia="宋体"/>
                <w:snapToGrid/>
                <w:sz w:val="21"/>
                <w:szCs w:val="21"/>
              </w:rPr>
            </w:pPr>
            <w:r>
              <w:rPr>
                <w:rStyle w:val="8"/>
                <w:rFonts w:hint="eastAsia" w:ascii="宋体" w:hAnsi="宋体" w:eastAsia="宋体"/>
                <w:b/>
                <w:bCs/>
                <w:sz w:val="21"/>
                <w:szCs w:val="21"/>
              </w:rPr>
              <w:t>日期：</w:t>
            </w:r>
          </w:p>
        </w:tc>
        <w:tc>
          <w:tcPr>
            <w:tcW w:w="4792" w:type="dxa"/>
            <w:gridSpan w:val="8"/>
            <w:shd w:val="clear" w:color="auto" w:fill="auto"/>
            <w:noWrap w:val="0"/>
            <w:vAlign w:val="center"/>
          </w:tcPr>
          <w:p>
            <w:pPr>
              <w:spacing w:line="240" w:lineRule="auto"/>
              <w:ind w:firstLine="0"/>
              <w:rPr>
                <w:rStyle w:val="8"/>
                <w:rFonts w:ascii="宋体" w:hAnsi="宋体" w:eastAsia="宋体"/>
                <w:b/>
                <w:bCs/>
                <w:sz w:val="21"/>
                <w:szCs w:val="21"/>
              </w:rPr>
            </w:pPr>
            <w:r>
              <w:rPr>
                <w:rStyle w:val="8"/>
                <w:rFonts w:hint="eastAsia" w:ascii="宋体" w:hAnsi="宋体" w:eastAsia="宋体"/>
                <w:b/>
                <w:bCs/>
                <w:sz w:val="21"/>
                <w:szCs w:val="21"/>
              </w:rPr>
              <w:t>设区市生态环境部门、工商联复核意见：</w:t>
            </w:r>
          </w:p>
          <w:p>
            <w:pPr>
              <w:spacing w:line="240" w:lineRule="auto"/>
              <w:ind w:firstLine="0"/>
              <w:rPr>
                <w:rStyle w:val="8"/>
                <w:rFonts w:ascii="宋体" w:hAnsi="宋体" w:eastAsia="宋体"/>
                <w:b/>
                <w:bCs/>
                <w:sz w:val="21"/>
                <w:szCs w:val="21"/>
              </w:rPr>
            </w:pPr>
          </w:p>
          <w:p>
            <w:pPr>
              <w:spacing w:line="240" w:lineRule="auto"/>
              <w:ind w:firstLine="2472" w:firstLineChars="1200"/>
              <w:rPr>
                <w:rStyle w:val="8"/>
                <w:rFonts w:ascii="宋体" w:hAnsi="宋体" w:eastAsia="宋体"/>
                <w:b/>
                <w:bCs/>
                <w:sz w:val="21"/>
                <w:szCs w:val="21"/>
              </w:rPr>
            </w:pPr>
            <w:r>
              <w:rPr>
                <w:rStyle w:val="8"/>
                <w:rFonts w:hint="eastAsia" w:ascii="宋体" w:hAnsi="宋体" w:eastAsia="宋体"/>
                <w:b/>
                <w:bCs/>
                <w:sz w:val="21"/>
                <w:szCs w:val="21"/>
              </w:rPr>
              <w:t>（公章）</w:t>
            </w:r>
          </w:p>
          <w:p>
            <w:pPr>
              <w:spacing w:line="240" w:lineRule="auto"/>
              <w:ind w:firstLine="2472" w:firstLineChars="1200"/>
              <w:rPr>
                <w:rFonts w:ascii="宋体" w:hAnsi="宋体" w:eastAsia="宋体"/>
                <w:sz w:val="21"/>
                <w:szCs w:val="21"/>
              </w:rPr>
            </w:pPr>
            <w:r>
              <w:rPr>
                <w:rStyle w:val="8"/>
                <w:rFonts w:hint="eastAsia" w:ascii="宋体" w:hAnsi="宋体" w:eastAsia="宋体"/>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322" w:type="dxa"/>
            <w:gridSpan w:val="13"/>
            <w:shd w:val="clear" w:color="auto" w:fill="auto"/>
            <w:noWrap w:val="0"/>
            <w:vAlign w:val="center"/>
          </w:tcPr>
          <w:p>
            <w:pPr>
              <w:spacing w:line="240" w:lineRule="auto"/>
              <w:ind w:firstLine="0"/>
              <w:rPr>
                <w:rStyle w:val="8"/>
                <w:rFonts w:ascii="宋体" w:hAnsi="宋体" w:eastAsia="宋体"/>
                <w:b/>
                <w:bCs/>
                <w:sz w:val="21"/>
                <w:szCs w:val="21"/>
              </w:rPr>
            </w:pPr>
            <w:r>
              <w:rPr>
                <w:rStyle w:val="8"/>
                <w:rFonts w:hint="eastAsia" w:ascii="宋体" w:hAnsi="宋体" w:eastAsia="宋体"/>
                <w:b/>
                <w:bCs/>
                <w:sz w:val="21"/>
                <w:szCs w:val="21"/>
              </w:rPr>
              <w:t>省生态环境厅、省工商联评定意见：</w:t>
            </w:r>
          </w:p>
          <w:p>
            <w:pPr>
              <w:spacing w:line="240" w:lineRule="auto"/>
              <w:ind w:firstLine="5768" w:firstLineChars="2800"/>
              <w:rPr>
                <w:rStyle w:val="8"/>
                <w:rFonts w:ascii="宋体" w:hAnsi="宋体" w:eastAsia="宋体"/>
                <w:b/>
                <w:bCs/>
                <w:sz w:val="21"/>
                <w:szCs w:val="21"/>
              </w:rPr>
            </w:pPr>
          </w:p>
          <w:p>
            <w:pPr>
              <w:spacing w:line="240" w:lineRule="auto"/>
              <w:ind w:firstLine="5768" w:firstLineChars="2800"/>
              <w:rPr>
                <w:rStyle w:val="8"/>
                <w:rFonts w:ascii="宋体" w:hAnsi="宋体" w:eastAsia="宋体"/>
                <w:b/>
                <w:bCs/>
                <w:sz w:val="21"/>
                <w:szCs w:val="21"/>
              </w:rPr>
            </w:pPr>
            <w:r>
              <w:rPr>
                <w:rStyle w:val="8"/>
                <w:rFonts w:hint="eastAsia" w:ascii="宋体" w:hAnsi="宋体" w:eastAsia="宋体"/>
                <w:b/>
                <w:bCs/>
                <w:sz w:val="21"/>
                <w:szCs w:val="21"/>
              </w:rPr>
              <w:t>（公章）</w:t>
            </w:r>
          </w:p>
          <w:p>
            <w:pPr>
              <w:spacing w:line="240" w:lineRule="auto"/>
              <w:ind w:firstLine="5768" w:firstLineChars="2800"/>
              <w:rPr>
                <w:rFonts w:ascii="宋体" w:hAnsi="宋体" w:eastAsia="宋体"/>
                <w:snapToGrid/>
                <w:sz w:val="21"/>
                <w:szCs w:val="21"/>
              </w:rPr>
            </w:pPr>
            <w:r>
              <w:rPr>
                <w:rStyle w:val="8"/>
                <w:rFonts w:hint="eastAsia" w:ascii="宋体" w:hAnsi="宋体" w:eastAsia="宋体"/>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322" w:type="dxa"/>
            <w:gridSpan w:val="13"/>
            <w:shd w:val="clear" w:color="auto" w:fill="auto"/>
            <w:noWrap w:val="0"/>
            <w:vAlign w:val="center"/>
          </w:tcPr>
          <w:p>
            <w:pPr>
              <w:spacing w:line="240" w:lineRule="auto"/>
              <w:ind w:firstLine="0"/>
              <w:rPr>
                <w:rFonts w:ascii="宋体" w:hAnsi="宋体" w:eastAsia="宋体"/>
                <w:snapToGrid/>
                <w:sz w:val="21"/>
                <w:szCs w:val="21"/>
              </w:rPr>
            </w:pPr>
            <w:r>
              <w:rPr>
                <w:rStyle w:val="8"/>
                <w:rFonts w:hint="eastAsia" w:ascii="宋体" w:hAnsi="宋体" w:eastAsia="宋体"/>
                <w:b/>
                <w:bCs/>
                <w:sz w:val="21"/>
                <w:szCs w:val="21"/>
              </w:rPr>
              <w:t>备注：</w:t>
            </w:r>
          </w:p>
        </w:tc>
      </w:tr>
    </w:tbl>
    <w:p>
      <w:pPr>
        <w:widowControl/>
        <w:autoSpaceDE/>
        <w:autoSpaceDN/>
        <w:snapToGrid/>
        <w:spacing w:line="40" w:lineRule="exact"/>
        <w:ind w:firstLine="0"/>
        <w:jc w:val="left"/>
        <w:rPr>
          <w:rFonts w:eastAsia="方正黑体_GBK" w:cs="方正黑体_GBK"/>
          <w:color w:val="000000"/>
          <w:sz w:val="10"/>
          <w:szCs w:val="10"/>
        </w:rPr>
      </w:pPr>
    </w:p>
    <w:p>
      <w:bookmarkStart w:id="0" w:name="_GoBack"/>
      <w:bookmarkEnd w:id="0"/>
    </w:p>
    <w:sectPr>
      <w:footerReference r:id="rId3"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fldChar w:fldCharType="begin"/>
    </w:r>
    <w:r>
      <w:rPr>
        <w:rStyle w:val="5"/>
      </w:rPr>
      <w:instrText xml:space="preserve"> PAGE </w:instrText>
    </w:r>
    <w:r>
      <w:fldChar w:fldCharType="separate"/>
    </w:r>
    <w:r>
      <w:rPr>
        <w:rStyle w:val="5"/>
      </w:rPr>
      <w:t>15</w:t>
    </w:r>
    <w:r>
      <w:fldChar w:fldCharType="end"/>
    </w:r>
    <w:r>
      <w:rPr>
        <w:rStyle w:val="5"/>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5508C"/>
    <w:rsid w:val="61B5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400" w:lineRule="atLeast"/>
      <w:ind w:firstLine="0"/>
      <w:jc w:val="center"/>
    </w:pPr>
    <w:rPr>
      <w:sz w:val="28"/>
    </w:rPr>
  </w:style>
  <w:style w:type="character" w:styleId="5">
    <w:name w:val="page number"/>
    <w:basedOn w:val="4"/>
    <w:qFormat/>
    <w:uiPriority w:val="0"/>
  </w:style>
  <w:style w:type="paragraph" w:customStyle="1" w:styleId="6">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7">
    <w:name w:val="标题2"/>
    <w:basedOn w:val="1"/>
    <w:next w:val="1"/>
    <w:qFormat/>
    <w:uiPriority w:val="0"/>
    <w:pPr>
      <w:ind w:firstLine="0"/>
      <w:jc w:val="center"/>
    </w:pPr>
    <w:rPr>
      <w:rFonts w:eastAsia="方正楷体_GBK"/>
    </w:rPr>
  </w:style>
  <w:style w:type="character" w:customStyle="1" w:styleId="8">
    <w:name w:val="font51"/>
    <w:qFormat/>
    <w:uiPriority w:val="0"/>
    <w:rPr>
      <w:rFonts w:hint="default" w:ascii="MingLiU" w:hAnsi="MingLiU" w:eastAsia="MingLiU" w:cs="MingLiU"/>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2021-12-10T02:29:00Z</dcterms:created>
  <dc:creator>菲常</dc:creator>
  <cp:lastModifiedBy>菲常</cp:lastModifiedBy>
  <dcterms:modified xsi:type="dcterms:W3CDTF">2021-12-10T02:31:18Z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